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5F55E">
      <w:pPr>
        <w:spacing w:line="480" w:lineRule="exact"/>
        <w:jc w:val="center"/>
        <w:rPr>
          <w:b/>
          <w:bCs/>
          <w:sz w:val="44"/>
          <w:szCs w:val="44"/>
        </w:rPr>
      </w:pPr>
      <w:bookmarkStart w:id="0" w:name="_Toc152042286"/>
      <w:bookmarkEnd w:id="0"/>
    </w:p>
    <w:p w14:paraId="541306B7">
      <w:pPr>
        <w:spacing w:line="480" w:lineRule="exact"/>
        <w:jc w:val="center"/>
        <w:rPr>
          <w:b/>
          <w:bCs/>
          <w:sz w:val="44"/>
          <w:szCs w:val="44"/>
        </w:rPr>
      </w:pPr>
    </w:p>
    <w:p w14:paraId="78F58626">
      <w:pPr>
        <w:spacing w:line="480" w:lineRule="exact"/>
        <w:jc w:val="center"/>
        <w:rPr>
          <w:b/>
          <w:bCs/>
          <w:sz w:val="44"/>
          <w:szCs w:val="44"/>
        </w:rPr>
      </w:pPr>
    </w:p>
    <w:p w14:paraId="7E2860AE">
      <w:pPr>
        <w:pStyle w:val="58"/>
        <w:jc w:val="center"/>
        <w:rPr>
          <w:rFonts w:cs="Arial"/>
          <w:b/>
          <w:color w:val="auto"/>
          <w:sz w:val="44"/>
          <w:szCs w:val="52"/>
        </w:rPr>
      </w:pPr>
      <w:bookmarkStart w:id="1" w:name="_Toc24220_WPSOffice_Type2"/>
      <w:r>
        <w:rPr>
          <w:rFonts w:hint="eastAsia" w:cs="Arial"/>
          <w:b/>
          <w:color w:val="auto"/>
          <w:sz w:val="48"/>
          <w:szCs w:val="56"/>
        </w:rPr>
        <w:t>新郑市新建路社区卫生服务中心建设医养结合健康管理中心项目</w:t>
      </w:r>
    </w:p>
    <w:p w14:paraId="6E11DD3B">
      <w:pPr>
        <w:pStyle w:val="58"/>
        <w:jc w:val="center"/>
        <w:rPr>
          <w:rFonts w:cs="Arial"/>
          <w:b/>
          <w:color w:val="auto"/>
          <w:sz w:val="44"/>
          <w:szCs w:val="52"/>
        </w:rPr>
      </w:pPr>
    </w:p>
    <w:p w14:paraId="3E612189">
      <w:pPr>
        <w:pStyle w:val="58"/>
        <w:rPr>
          <w:rFonts w:cs="Arial"/>
          <w:b/>
          <w:color w:val="auto"/>
          <w:sz w:val="44"/>
          <w:szCs w:val="52"/>
        </w:rPr>
      </w:pPr>
    </w:p>
    <w:p w14:paraId="2F505D69">
      <w:pPr>
        <w:pStyle w:val="58"/>
        <w:rPr>
          <w:rFonts w:cs="Arial"/>
          <w:b/>
          <w:color w:val="auto"/>
          <w:sz w:val="44"/>
          <w:szCs w:val="52"/>
        </w:rPr>
      </w:pPr>
    </w:p>
    <w:p w14:paraId="391C5A6A">
      <w:pPr>
        <w:jc w:val="center"/>
        <w:rPr>
          <w:rFonts w:cs="宋体"/>
          <w:b/>
          <w:sz w:val="48"/>
          <w:szCs w:val="56"/>
        </w:rPr>
      </w:pPr>
    </w:p>
    <w:p w14:paraId="0FC5631C">
      <w:pPr>
        <w:jc w:val="center"/>
        <w:rPr>
          <w:rFonts w:cs="宋体"/>
          <w:b/>
          <w:sz w:val="84"/>
          <w:szCs w:val="84"/>
        </w:rPr>
      </w:pPr>
      <w:r>
        <w:rPr>
          <w:rFonts w:hint="eastAsia" w:cs="宋体"/>
          <w:b/>
          <w:sz w:val="84"/>
          <w:szCs w:val="84"/>
        </w:rPr>
        <w:t>竞争性磋商文件</w:t>
      </w:r>
    </w:p>
    <w:p w14:paraId="2277F168">
      <w:pPr>
        <w:widowControl/>
        <w:spacing w:line="360" w:lineRule="auto"/>
        <w:jc w:val="center"/>
        <w:rPr>
          <w:rFonts w:hint="eastAsia" w:ascii="宋体" w:hAnsi="宋体" w:cs="宋体"/>
          <w:b/>
          <w:bCs/>
          <w:sz w:val="22"/>
          <w:szCs w:val="22"/>
        </w:rPr>
      </w:pPr>
      <w:r>
        <w:rPr>
          <w:rFonts w:hint="eastAsia" w:ascii="宋体" w:hAnsi="宋体" w:cs="宋体"/>
          <w:b/>
          <w:bCs/>
          <w:sz w:val="22"/>
          <w:szCs w:val="22"/>
        </w:rPr>
        <w:t>项目编号：</w:t>
      </w:r>
      <w:r>
        <w:rPr>
          <w:rFonts w:hint="eastAsia" w:ascii="宋体" w:hAnsi="宋体" w:cs="宋体"/>
          <w:b/>
          <w:bCs/>
          <w:sz w:val="22"/>
          <w:szCs w:val="22"/>
          <w:lang w:val="en-US" w:eastAsia="zh-CN"/>
        </w:rPr>
        <w:t>新财磋商采购-2025-67</w:t>
      </w:r>
      <w:r>
        <w:rPr>
          <w:rFonts w:hint="eastAsia" w:ascii="宋体" w:hAnsi="宋体" w:cs="宋体"/>
          <w:b/>
          <w:bCs/>
          <w:sz w:val="22"/>
          <w:szCs w:val="22"/>
        </w:rPr>
        <w:t xml:space="preserve"> </w:t>
      </w:r>
    </w:p>
    <w:p w14:paraId="6E74DA27">
      <w:pPr>
        <w:pStyle w:val="58"/>
        <w:jc w:val="center"/>
      </w:pPr>
      <w:r>
        <w:fldChar w:fldCharType="begin"/>
      </w:r>
      <w:r>
        <w:instrText xml:space="preserve"> INCLUDEPICTURE "D:\\QQ\\qq记录\\421423224\\Image\\C2C\\8Z~1X7WIXPHLAP75`V(N1WV.png" \* MERGEFORMATINET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r>
        <w:fldChar w:fldCharType="begin"/>
      </w:r>
      <w:r>
        <w:instrText xml:space="preserve"> </w:instrText>
      </w:r>
      <w:r>
        <w:rPr>
          <w:rFonts w:hint="eastAsia"/>
        </w:rPr>
        <w:instrText xml:space="preserve">INCLUDEPICTURE  "D:\\QQ\\qq记录\\421423224\\Image\\C2C\\8Z~1X7WIXPHLAP75`V(N1WV.png" \* MERGEFORMATINET</w:instrText>
      </w:r>
      <w:r>
        <w:instrText xml:space="preserve"> </w:instrText>
      </w:r>
      <w:r>
        <w:fldChar w:fldCharType="separate"/>
      </w:r>
    </w:p>
    <w:p w14:paraId="13E1ECED">
      <w:pPr>
        <w:pStyle w:val="58"/>
        <w:jc w:val="center"/>
      </w:pP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D4B0328">
      <w:pPr>
        <w:pStyle w:val="58"/>
        <w:jc w:val="center"/>
      </w:pPr>
    </w:p>
    <w:p w14:paraId="21C5052D">
      <w:pPr>
        <w:pStyle w:val="58"/>
        <w:jc w:val="center"/>
      </w:pPr>
    </w:p>
    <w:p w14:paraId="1E645B8D">
      <w:pPr>
        <w:pStyle w:val="58"/>
        <w:jc w:val="center"/>
      </w:pPr>
    </w:p>
    <w:p w14:paraId="0B18FFA6">
      <w:pPr>
        <w:pStyle w:val="58"/>
        <w:jc w:val="center"/>
      </w:pPr>
    </w:p>
    <w:p w14:paraId="59144B76">
      <w:pPr>
        <w:pStyle w:val="58"/>
        <w:jc w:val="center"/>
      </w:pPr>
    </w:p>
    <w:p w14:paraId="7A9FC4A2">
      <w:pPr>
        <w:pStyle w:val="58"/>
        <w:jc w:val="center"/>
      </w:pPr>
    </w:p>
    <w:p w14:paraId="5E4761BA">
      <w:pPr>
        <w:pStyle w:val="58"/>
        <w:jc w:val="center"/>
        <w:rPr>
          <w:color w:val="auto"/>
          <w:sz w:val="28"/>
          <w:szCs w:val="21"/>
        </w:rPr>
      </w:pPr>
    </w:p>
    <w:tbl>
      <w:tblPr>
        <w:tblStyle w:val="28"/>
        <w:tblW w:w="7112" w:type="dxa"/>
        <w:jc w:val="center"/>
        <w:tblLayout w:type="fixed"/>
        <w:tblCellMar>
          <w:top w:w="0" w:type="dxa"/>
          <w:left w:w="108" w:type="dxa"/>
          <w:bottom w:w="0" w:type="dxa"/>
          <w:right w:w="108" w:type="dxa"/>
        </w:tblCellMar>
      </w:tblPr>
      <w:tblGrid>
        <w:gridCol w:w="2230"/>
        <w:gridCol w:w="4882"/>
      </w:tblGrid>
      <w:tr w14:paraId="2DC4183B">
        <w:tblPrEx>
          <w:tblCellMar>
            <w:top w:w="0" w:type="dxa"/>
            <w:left w:w="108" w:type="dxa"/>
            <w:bottom w:w="0" w:type="dxa"/>
            <w:right w:w="108" w:type="dxa"/>
          </w:tblCellMar>
        </w:tblPrEx>
        <w:trPr>
          <w:trHeight w:val="647" w:hRule="atLeast"/>
          <w:jc w:val="center"/>
        </w:trPr>
        <w:tc>
          <w:tcPr>
            <w:tcW w:w="2230" w:type="dxa"/>
          </w:tcPr>
          <w:p w14:paraId="737D058B">
            <w:pPr>
              <w:widowControl/>
              <w:jc w:val="center"/>
              <w:rPr>
                <w:rFonts w:cs="宋体"/>
                <w:sz w:val="28"/>
              </w:rPr>
            </w:pPr>
            <w:r>
              <w:rPr>
                <w:rFonts w:hint="eastAsia" w:ascii="宋体" w:hAnsi="宋体" w:cs="宋体"/>
                <w:sz w:val="28"/>
              </w:rPr>
              <w:t>招 标 人：</w:t>
            </w:r>
          </w:p>
        </w:tc>
        <w:tc>
          <w:tcPr>
            <w:tcW w:w="4882" w:type="dxa"/>
            <w:tcBorders>
              <w:bottom w:val="single" w:color="auto" w:sz="4" w:space="0"/>
            </w:tcBorders>
          </w:tcPr>
          <w:p w14:paraId="1E4A91B2">
            <w:pPr>
              <w:widowControl/>
              <w:jc w:val="center"/>
              <w:rPr>
                <w:rFonts w:hint="eastAsia" w:ascii="宋体" w:hAnsi="宋体" w:cs="宋体"/>
                <w:sz w:val="28"/>
                <w:szCs w:val="28"/>
              </w:rPr>
            </w:pPr>
            <w:r>
              <w:rPr>
                <w:rFonts w:hint="eastAsia" w:ascii="宋体" w:hAnsi="宋体" w:cs="宋体"/>
                <w:sz w:val="28"/>
                <w:szCs w:val="28"/>
              </w:rPr>
              <w:t>新郑市新建路社区卫生服务中心</w:t>
            </w:r>
          </w:p>
        </w:tc>
      </w:tr>
      <w:tr w14:paraId="520FFB50">
        <w:tblPrEx>
          <w:tblCellMar>
            <w:top w:w="0" w:type="dxa"/>
            <w:left w:w="108" w:type="dxa"/>
            <w:bottom w:w="0" w:type="dxa"/>
            <w:right w:w="108" w:type="dxa"/>
          </w:tblCellMar>
        </w:tblPrEx>
        <w:trPr>
          <w:trHeight w:val="647" w:hRule="atLeast"/>
          <w:jc w:val="center"/>
        </w:trPr>
        <w:tc>
          <w:tcPr>
            <w:tcW w:w="2230" w:type="dxa"/>
          </w:tcPr>
          <w:p w14:paraId="56E25C9C">
            <w:pPr>
              <w:widowControl/>
              <w:jc w:val="center"/>
              <w:rPr>
                <w:rFonts w:cs="宋体"/>
                <w:sz w:val="28"/>
              </w:rPr>
            </w:pPr>
            <w:r>
              <w:rPr>
                <w:rFonts w:hint="eastAsia" w:ascii="宋体" w:hAnsi="宋体" w:cs="宋体"/>
                <w:sz w:val="28"/>
              </w:rPr>
              <w:t>代理机构：</w:t>
            </w:r>
          </w:p>
        </w:tc>
        <w:tc>
          <w:tcPr>
            <w:tcW w:w="4882" w:type="dxa"/>
            <w:tcBorders>
              <w:top w:val="single" w:color="auto" w:sz="4" w:space="0"/>
              <w:bottom w:val="single" w:color="auto" w:sz="4" w:space="0"/>
            </w:tcBorders>
          </w:tcPr>
          <w:p w14:paraId="4507A9F5">
            <w:pPr>
              <w:widowControl/>
              <w:jc w:val="center"/>
              <w:rPr>
                <w:rFonts w:hint="eastAsia" w:ascii="宋体" w:hAnsi="宋体" w:cs="宋体"/>
                <w:sz w:val="28"/>
                <w:szCs w:val="28"/>
              </w:rPr>
            </w:pPr>
            <w:r>
              <w:rPr>
                <w:rFonts w:hint="eastAsia" w:ascii="宋体" w:hAnsi="宋体" w:cs="宋体"/>
                <w:sz w:val="28"/>
                <w:szCs w:val="28"/>
              </w:rPr>
              <w:t>河南联仁工程管理有限公司</w:t>
            </w:r>
          </w:p>
        </w:tc>
      </w:tr>
      <w:tr w14:paraId="1A58A7A0">
        <w:tblPrEx>
          <w:tblCellMar>
            <w:top w:w="0" w:type="dxa"/>
            <w:left w:w="108" w:type="dxa"/>
            <w:bottom w:w="0" w:type="dxa"/>
            <w:right w:w="108" w:type="dxa"/>
          </w:tblCellMar>
        </w:tblPrEx>
        <w:trPr>
          <w:trHeight w:val="647" w:hRule="atLeast"/>
          <w:jc w:val="center"/>
        </w:trPr>
        <w:tc>
          <w:tcPr>
            <w:tcW w:w="2230" w:type="dxa"/>
          </w:tcPr>
          <w:p w14:paraId="4A2907B3">
            <w:pPr>
              <w:widowControl/>
              <w:jc w:val="center"/>
              <w:rPr>
                <w:rFonts w:cs="宋体"/>
                <w:sz w:val="28"/>
              </w:rPr>
            </w:pPr>
            <w:r>
              <w:rPr>
                <w:rFonts w:hint="eastAsia" w:ascii="宋体" w:hAnsi="宋体" w:cs="宋体"/>
                <w:sz w:val="28"/>
              </w:rPr>
              <w:t>编制日期：</w:t>
            </w:r>
          </w:p>
        </w:tc>
        <w:tc>
          <w:tcPr>
            <w:tcW w:w="4882" w:type="dxa"/>
            <w:tcBorders>
              <w:top w:val="single" w:color="auto" w:sz="4" w:space="0"/>
              <w:bottom w:val="single" w:color="auto" w:sz="4" w:space="0"/>
            </w:tcBorders>
          </w:tcPr>
          <w:p w14:paraId="23193D7D">
            <w:pPr>
              <w:widowControl/>
              <w:jc w:val="center"/>
              <w:rPr>
                <w:rFonts w:hint="eastAsia" w:ascii="宋体" w:hAnsi="宋体" w:cs="宋体"/>
                <w:sz w:val="28"/>
                <w:szCs w:val="28"/>
              </w:rPr>
            </w:pPr>
            <w:r>
              <w:rPr>
                <w:rFonts w:hint="eastAsia"/>
              </w:rPr>
              <w:fldChar w:fldCharType="begin"/>
            </w:r>
            <w:r>
              <w:instrText xml:space="preserve">DOCPROPERTY  编制日期  \* MERGEFORMAT</w:instrText>
            </w:r>
            <w:r>
              <w:rPr>
                <w:rFonts w:hint="eastAsia"/>
              </w:rPr>
              <w:fldChar w:fldCharType="separate"/>
            </w:r>
            <w:r>
              <w:rPr>
                <w:rFonts w:hint="eastAsia" w:ascii="宋体" w:hAnsi="宋体" w:cs="宋体"/>
                <w:sz w:val="28"/>
                <w:szCs w:val="28"/>
              </w:rPr>
              <w:t>二〇二五年</w:t>
            </w:r>
            <w:r>
              <w:rPr>
                <w:rFonts w:hint="eastAsia" w:ascii="宋体" w:hAnsi="宋体" w:cs="宋体"/>
                <w:sz w:val="28"/>
                <w:szCs w:val="28"/>
                <w:lang w:val="en-US" w:eastAsia="zh-CN"/>
              </w:rPr>
              <w:t>八</w:t>
            </w:r>
            <w:r>
              <w:rPr>
                <w:rFonts w:hint="eastAsia" w:ascii="宋体" w:hAnsi="宋体" w:cs="宋体"/>
                <w:sz w:val="28"/>
                <w:szCs w:val="28"/>
              </w:rPr>
              <w:t>月</w:t>
            </w:r>
            <w:r>
              <w:rPr>
                <w:rFonts w:hint="eastAsia" w:ascii="宋体" w:hAnsi="宋体" w:cs="宋体"/>
                <w:sz w:val="28"/>
                <w:szCs w:val="28"/>
              </w:rPr>
              <w:fldChar w:fldCharType="end"/>
            </w:r>
          </w:p>
        </w:tc>
      </w:tr>
    </w:tbl>
    <w:p w14:paraId="562355FA">
      <w:pPr>
        <w:jc w:val="center"/>
        <w:rPr>
          <w:b/>
          <w:bCs/>
          <w:sz w:val="32"/>
          <w:szCs w:val="32"/>
        </w:rPr>
      </w:pPr>
      <w:r>
        <w:rPr>
          <w:rFonts w:ascii="宋体" w:hAnsi="宋体" w:cs="宋体"/>
          <w:b/>
          <w:bCs/>
          <w:sz w:val="32"/>
          <w:szCs w:val="32"/>
        </w:rPr>
        <w:br w:type="page"/>
      </w:r>
      <w:r>
        <w:rPr>
          <w:rFonts w:hint="eastAsia" w:ascii="宋体" w:hAnsi="宋体" w:cs="宋体"/>
          <w:b/>
          <w:bCs/>
          <w:sz w:val="32"/>
          <w:szCs w:val="32"/>
        </w:rPr>
        <w:t>目录</w:t>
      </w:r>
    </w:p>
    <w:bookmarkEnd w:id="1"/>
    <w:p w14:paraId="24A64225">
      <w:pPr>
        <w:pStyle w:val="19"/>
        <w:tabs>
          <w:tab w:val="right" w:leader="dot" w:pos="9736"/>
        </w:tabs>
        <w:rPr>
          <w:rFonts w:asciiTheme="minorHAnsi" w:hAnsiTheme="minorHAnsi" w:eastAsiaTheme="minorEastAsia" w:cstheme="minorBidi"/>
          <w:b w:val="0"/>
          <w:bCs w:val="0"/>
          <w:caps w:val="0"/>
          <w:sz w:val="21"/>
          <w:szCs w:val="22"/>
        </w:rPr>
      </w:pPr>
      <w:bookmarkStart w:id="2" w:name="_Toc4917_WPSOffice_Level1"/>
      <w:bookmarkStart w:id="3" w:name="_Toc16705_WPSOffice_Level1"/>
      <w:r>
        <w:rPr>
          <w:rFonts w:ascii="宋体" w:hAnsi="宋体" w:cs="宋体"/>
          <w:b w:val="0"/>
          <w:bCs w:val="0"/>
          <w:caps w:val="0"/>
        </w:rPr>
        <w:fldChar w:fldCharType="begin"/>
      </w:r>
      <w:r>
        <w:rPr>
          <w:rFonts w:ascii="宋体" w:hAnsi="宋体" w:cs="宋体"/>
          <w:b w:val="0"/>
          <w:bCs w:val="0"/>
          <w:caps w:val="0"/>
        </w:rPr>
        <w:instrText xml:space="preserve"> TOC \o "1-2" \h \z \u </w:instrText>
      </w:r>
      <w:r>
        <w:rPr>
          <w:rFonts w:ascii="宋体" w:hAnsi="宋体" w:cs="宋体"/>
          <w:b w:val="0"/>
          <w:bCs w:val="0"/>
          <w:caps w:val="0"/>
        </w:rPr>
        <w:fldChar w:fldCharType="separate"/>
      </w:r>
      <w:r>
        <w:fldChar w:fldCharType="begin"/>
      </w:r>
      <w:r>
        <w:instrText xml:space="preserve"> HYPERLINK \l "_Toc152656707" </w:instrText>
      </w:r>
      <w:r>
        <w:fldChar w:fldCharType="separate"/>
      </w:r>
      <w:r>
        <w:rPr>
          <w:rStyle w:val="38"/>
          <w:rFonts w:hint="eastAsia" w:cs="宋体"/>
        </w:rPr>
        <w:t>第一章</w:t>
      </w:r>
      <w:r>
        <w:rPr>
          <w:rStyle w:val="38"/>
          <w:rFonts w:cs="宋体"/>
        </w:rPr>
        <w:t xml:space="preserve"> </w:t>
      </w:r>
      <w:r>
        <w:rPr>
          <w:rStyle w:val="38"/>
          <w:rFonts w:hint="eastAsia" w:cs="宋体"/>
        </w:rPr>
        <w:t>竞争性磋商公告</w:t>
      </w:r>
      <w:r>
        <w:tab/>
      </w:r>
      <w:r>
        <w:fldChar w:fldCharType="begin"/>
      </w:r>
      <w:r>
        <w:instrText xml:space="preserve"> PAGEREF _Toc152656707 \h </w:instrText>
      </w:r>
      <w:r>
        <w:fldChar w:fldCharType="separate"/>
      </w:r>
      <w:r>
        <w:t>3</w:t>
      </w:r>
      <w:r>
        <w:fldChar w:fldCharType="end"/>
      </w:r>
      <w:r>
        <w:fldChar w:fldCharType="end"/>
      </w:r>
    </w:p>
    <w:p w14:paraId="1944559E">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"_Toc152656708" </w:instrText>
      </w:r>
      <w:r>
        <w:fldChar w:fldCharType="separate"/>
      </w:r>
      <w:r>
        <w:rPr>
          <w:rStyle w:val="38"/>
          <w:rFonts w:hint="eastAsia" w:cs="宋体"/>
        </w:rPr>
        <w:t>第二章</w:t>
      </w:r>
      <w:r>
        <w:rPr>
          <w:rStyle w:val="38"/>
          <w:rFonts w:cs="宋体"/>
        </w:rPr>
        <w:t xml:space="preserve"> </w:t>
      </w:r>
      <w:r>
        <w:rPr>
          <w:rStyle w:val="38"/>
          <w:rFonts w:hint="eastAsia" w:cs="宋体"/>
        </w:rPr>
        <w:t>供应商须知</w:t>
      </w:r>
      <w:r>
        <w:tab/>
      </w:r>
      <w:r>
        <w:fldChar w:fldCharType="begin"/>
      </w:r>
      <w:r>
        <w:instrText xml:space="preserve"> PAGEREF _Toc152656708 \h </w:instrText>
      </w:r>
      <w:r>
        <w:fldChar w:fldCharType="separate"/>
      </w:r>
      <w:r>
        <w:t>7</w:t>
      </w:r>
      <w:r>
        <w:fldChar w:fldCharType="end"/>
      </w:r>
      <w:r>
        <w:fldChar w:fldCharType="end"/>
      </w:r>
    </w:p>
    <w:p w14:paraId="6D954F82">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"_Toc152656709" </w:instrText>
      </w:r>
      <w:r>
        <w:fldChar w:fldCharType="separate"/>
      </w:r>
      <w:r>
        <w:rPr>
          <w:rStyle w:val="38"/>
          <w:rFonts w:hint="eastAsia" w:cs="宋体"/>
          <w:kern w:val="44"/>
        </w:rPr>
        <w:t>供应商须知前附表</w:t>
      </w:r>
      <w:r>
        <w:tab/>
      </w:r>
      <w:r>
        <w:fldChar w:fldCharType="begin"/>
      </w:r>
      <w:r>
        <w:instrText xml:space="preserve"> PAGEREF _Toc152656709 \h </w:instrText>
      </w:r>
      <w:r>
        <w:fldChar w:fldCharType="separate"/>
      </w:r>
      <w:r>
        <w:t>7</w:t>
      </w:r>
      <w:r>
        <w:fldChar w:fldCharType="end"/>
      </w:r>
      <w:r>
        <w:fldChar w:fldCharType="end"/>
      </w:r>
    </w:p>
    <w:p w14:paraId="14182883">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"_Toc152656710" </w:instrText>
      </w:r>
      <w:r>
        <w:fldChar w:fldCharType="separate"/>
      </w:r>
      <w:r>
        <w:rPr>
          <w:rStyle w:val="38"/>
          <w:rFonts w:ascii="宋体" w:hAnsi="宋体" w:cs="宋体"/>
        </w:rPr>
        <w:t xml:space="preserve">1. </w:t>
      </w:r>
      <w:r>
        <w:rPr>
          <w:rStyle w:val="38"/>
          <w:rFonts w:hint="eastAsia" w:ascii="宋体" w:hAnsi="宋体" w:cs="宋体"/>
        </w:rPr>
        <w:t>总则</w:t>
      </w:r>
      <w:r>
        <w:tab/>
      </w:r>
      <w:r>
        <w:fldChar w:fldCharType="begin"/>
      </w:r>
      <w:r>
        <w:instrText xml:space="preserve"> PAGEREF _Toc152656710 \h </w:instrText>
      </w:r>
      <w:r>
        <w:fldChar w:fldCharType="separate"/>
      </w:r>
      <w:r>
        <w:t>13</w:t>
      </w:r>
      <w:r>
        <w:fldChar w:fldCharType="end"/>
      </w:r>
      <w:r>
        <w:fldChar w:fldCharType="end"/>
      </w:r>
    </w:p>
    <w:p w14:paraId="7DD6EDD9">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"_Toc152656711" </w:instrText>
      </w:r>
      <w:r>
        <w:fldChar w:fldCharType="separate"/>
      </w:r>
      <w:r>
        <w:rPr>
          <w:rStyle w:val="38"/>
          <w:rFonts w:ascii="宋体" w:hAnsi="宋体" w:cs="宋体"/>
        </w:rPr>
        <w:t xml:space="preserve">2. </w:t>
      </w:r>
      <w:r>
        <w:rPr>
          <w:rStyle w:val="38"/>
          <w:rFonts w:hint="eastAsia" w:ascii="宋体" w:hAnsi="宋体" w:cs="宋体"/>
        </w:rPr>
        <w:t>竞争性磋商文件</w:t>
      </w:r>
      <w:r>
        <w:tab/>
      </w:r>
      <w:r>
        <w:fldChar w:fldCharType="begin"/>
      </w:r>
      <w:r>
        <w:instrText xml:space="preserve"> PAGEREF _Toc152656711 \h </w:instrText>
      </w:r>
      <w:r>
        <w:fldChar w:fldCharType="separate"/>
      </w:r>
      <w:r>
        <w:t>15</w:t>
      </w:r>
      <w:r>
        <w:fldChar w:fldCharType="end"/>
      </w:r>
      <w:r>
        <w:fldChar w:fldCharType="end"/>
      </w:r>
    </w:p>
    <w:p w14:paraId="396F89E1">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"_Toc152656712" </w:instrText>
      </w:r>
      <w:r>
        <w:fldChar w:fldCharType="separate"/>
      </w:r>
      <w:r>
        <w:rPr>
          <w:rStyle w:val="38"/>
          <w:rFonts w:ascii="宋体" w:hAnsi="宋体" w:cs="宋体"/>
        </w:rPr>
        <w:t xml:space="preserve">3. </w:t>
      </w:r>
      <w:r>
        <w:rPr>
          <w:rStyle w:val="38"/>
          <w:rFonts w:hint="eastAsia" w:ascii="宋体" w:hAnsi="宋体" w:cs="宋体"/>
        </w:rPr>
        <w:t>响应文件</w:t>
      </w:r>
      <w:r>
        <w:tab/>
      </w:r>
      <w:r>
        <w:fldChar w:fldCharType="begin"/>
      </w:r>
      <w:r>
        <w:instrText xml:space="preserve"> PAGEREF _Toc152656712 \h </w:instrText>
      </w:r>
      <w:r>
        <w:fldChar w:fldCharType="separate"/>
      </w:r>
      <w:r>
        <w:t>17</w:t>
      </w:r>
      <w:r>
        <w:fldChar w:fldCharType="end"/>
      </w:r>
      <w:r>
        <w:fldChar w:fldCharType="end"/>
      </w:r>
    </w:p>
    <w:p w14:paraId="070953E2">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"_Toc152656713" </w:instrText>
      </w:r>
      <w:r>
        <w:fldChar w:fldCharType="separate"/>
      </w:r>
      <w:r>
        <w:rPr>
          <w:rStyle w:val="38"/>
          <w:rFonts w:ascii="宋体" w:hAnsi="宋体" w:cs="宋体"/>
        </w:rPr>
        <w:t xml:space="preserve">4. </w:t>
      </w:r>
      <w:r>
        <w:rPr>
          <w:rStyle w:val="38"/>
          <w:rFonts w:hint="eastAsia" w:ascii="宋体" w:hAnsi="宋体" w:cs="宋体"/>
        </w:rPr>
        <w:t>投标</w:t>
      </w:r>
      <w:r>
        <w:tab/>
      </w:r>
      <w:r>
        <w:fldChar w:fldCharType="begin"/>
      </w:r>
      <w:r>
        <w:instrText xml:space="preserve"> PAGEREF _Toc152656713 \h </w:instrText>
      </w:r>
      <w:r>
        <w:fldChar w:fldCharType="separate"/>
      </w:r>
      <w:r>
        <w:t>18</w:t>
      </w:r>
      <w:r>
        <w:fldChar w:fldCharType="end"/>
      </w:r>
      <w:r>
        <w:fldChar w:fldCharType="end"/>
      </w:r>
    </w:p>
    <w:p w14:paraId="0BE3C219">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"_Toc152656714" </w:instrText>
      </w:r>
      <w:r>
        <w:fldChar w:fldCharType="separate"/>
      </w:r>
      <w:r>
        <w:rPr>
          <w:rStyle w:val="38"/>
          <w:rFonts w:ascii="宋体" w:hAnsi="宋体" w:cs="宋体"/>
        </w:rPr>
        <w:t xml:space="preserve">5. </w:t>
      </w:r>
      <w:r>
        <w:rPr>
          <w:rStyle w:val="38"/>
          <w:rFonts w:hint="eastAsia" w:ascii="宋体" w:hAnsi="宋体" w:cs="宋体"/>
        </w:rPr>
        <w:t>开标</w:t>
      </w:r>
      <w:r>
        <w:tab/>
      </w:r>
      <w:r>
        <w:fldChar w:fldCharType="begin"/>
      </w:r>
      <w:r>
        <w:instrText xml:space="preserve"> PAGEREF _Toc152656714 \h </w:instrText>
      </w:r>
      <w:r>
        <w:fldChar w:fldCharType="separate"/>
      </w:r>
      <w:r>
        <w:t>19</w:t>
      </w:r>
      <w:r>
        <w:fldChar w:fldCharType="end"/>
      </w:r>
      <w:r>
        <w:fldChar w:fldCharType="end"/>
      </w:r>
    </w:p>
    <w:p w14:paraId="3B99E704">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"_Toc152656715" </w:instrText>
      </w:r>
      <w:r>
        <w:fldChar w:fldCharType="separate"/>
      </w:r>
      <w:r>
        <w:rPr>
          <w:rStyle w:val="38"/>
          <w:rFonts w:ascii="宋体" w:hAnsi="宋体" w:cs="宋体"/>
        </w:rPr>
        <w:t xml:space="preserve">6. </w:t>
      </w:r>
      <w:r>
        <w:rPr>
          <w:rStyle w:val="38"/>
          <w:rFonts w:hint="eastAsia" w:ascii="宋体" w:hAnsi="宋体" w:cs="宋体"/>
        </w:rPr>
        <w:t>评审及磋商</w:t>
      </w:r>
      <w:r>
        <w:tab/>
      </w:r>
      <w:r>
        <w:fldChar w:fldCharType="begin"/>
      </w:r>
      <w:r>
        <w:instrText xml:space="preserve"> PAGEREF _Toc152656715 \h </w:instrText>
      </w:r>
      <w:r>
        <w:fldChar w:fldCharType="separate"/>
      </w:r>
      <w:r>
        <w:t>20</w:t>
      </w:r>
      <w:r>
        <w:fldChar w:fldCharType="end"/>
      </w:r>
      <w:r>
        <w:fldChar w:fldCharType="end"/>
      </w:r>
    </w:p>
    <w:p w14:paraId="1A404532">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"_Toc152656716" </w:instrText>
      </w:r>
      <w:r>
        <w:fldChar w:fldCharType="separate"/>
      </w:r>
      <w:r>
        <w:rPr>
          <w:rStyle w:val="38"/>
          <w:rFonts w:ascii="宋体" w:hAnsi="宋体" w:cs="宋体"/>
        </w:rPr>
        <w:t xml:space="preserve">7. </w:t>
      </w:r>
      <w:r>
        <w:rPr>
          <w:rStyle w:val="38"/>
          <w:rFonts w:hint="eastAsia" w:ascii="宋体" w:hAnsi="宋体" w:cs="宋体"/>
        </w:rPr>
        <w:t>合同授予</w:t>
      </w:r>
      <w:r>
        <w:tab/>
      </w:r>
      <w:r>
        <w:fldChar w:fldCharType="begin"/>
      </w:r>
      <w:r>
        <w:instrText xml:space="preserve"> PAGEREF _Toc152656716 \h </w:instrText>
      </w:r>
      <w:r>
        <w:fldChar w:fldCharType="separate"/>
      </w:r>
      <w:r>
        <w:t>22</w:t>
      </w:r>
      <w:r>
        <w:fldChar w:fldCharType="end"/>
      </w:r>
      <w:r>
        <w:fldChar w:fldCharType="end"/>
      </w:r>
    </w:p>
    <w:p w14:paraId="2EAB403E">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"_Toc152656717" </w:instrText>
      </w:r>
      <w:r>
        <w:fldChar w:fldCharType="separate"/>
      </w:r>
      <w:r>
        <w:rPr>
          <w:rStyle w:val="38"/>
          <w:rFonts w:ascii="宋体" w:hAnsi="宋体" w:cs="宋体"/>
        </w:rPr>
        <w:t xml:space="preserve">8. </w:t>
      </w:r>
      <w:r>
        <w:rPr>
          <w:rStyle w:val="38"/>
          <w:rFonts w:hint="eastAsia" w:ascii="宋体" w:hAnsi="宋体" w:cs="宋体"/>
        </w:rPr>
        <w:t>重新招标</w:t>
      </w:r>
      <w:r>
        <w:tab/>
      </w:r>
      <w:r>
        <w:fldChar w:fldCharType="begin"/>
      </w:r>
      <w:r>
        <w:instrText xml:space="preserve"> PAGEREF _Toc152656717 \h </w:instrText>
      </w:r>
      <w:r>
        <w:fldChar w:fldCharType="separate"/>
      </w:r>
      <w:r>
        <w:t>23</w:t>
      </w:r>
      <w:r>
        <w:fldChar w:fldCharType="end"/>
      </w:r>
      <w:r>
        <w:fldChar w:fldCharType="end"/>
      </w:r>
    </w:p>
    <w:p w14:paraId="7ACC6363">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"_Toc152656718" </w:instrText>
      </w:r>
      <w:r>
        <w:fldChar w:fldCharType="separate"/>
      </w:r>
      <w:r>
        <w:rPr>
          <w:rStyle w:val="38"/>
          <w:rFonts w:ascii="宋体" w:hAnsi="宋体" w:cs="宋体"/>
        </w:rPr>
        <w:t xml:space="preserve">9. </w:t>
      </w:r>
      <w:r>
        <w:rPr>
          <w:rStyle w:val="38"/>
          <w:rFonts w:hint="eastAsia" w:ascii="宋体" w:hAnsi="宋体" w:cs="宋体"/>
        </w:rPr>
        <w:t>纪律和监督</w:t>
      </w:r>
      <w:r>
        <w:tab/>
      </w:r>
      <w:r>
        <w:fldChar w:fldCharType="begin"/>
      </w:r>
      <w:r>
        <w:instrText xml:space="preserve"> PAGEREF _Toc152656718 \h </w:instrText>
      </w:r>
      <w:r>
        <w:fldChar w:fldCharType="separate"/>
      </w:r>
      <w:r>
        <w:t>23</w:t>
      </w:r>
      <w:r>
        <w:fldChar w:fldCharType="end"/>
      </w:r>
      <w:r>
        <w:fldChar w:fldCharType="end"/>
      </w:r>
    </w:p>
    <w:p w14:paraId="0E0DB724">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"_Toc152656719" </w:instrText>
      </w:r>
      <w:r>
        <w:fldChar w:fldCharType="separate"/>
      </w:r>
      <w:r>
        <w:rPr>
          <w:rStyle w:val="38"/>
          <w:rFonts w:ascii="宋体" w:hAnsi="宋体" w:cs="宋体"/>
        </w:rPr>
        <w:t xml:space="preserve">10. </w:t>
      </w:r>
      <w:r>
        <w:rPr>
          <w:rStyle w:val="38"/>
          <w:rFonts w:hint="eastAsia" w:ascii="宋体" w:hAnsi="宋体" w:cs="宋体"/>
        </w:rPr>
        <w:t>需要补充的其他内容</w:t>
      </w:r>
      <w:r>
        <w:tab/>
      </w:r>
      <w:r>
        <w:fldChar w:fldCharType="begin"/>
      </w:r>
      <w:r>
        <w:instrText xml:space="preserve"> PAGEREF _Toc152656719 \h </w:instrText>
      </w:r>
      <w:r>
        <w:fldChar w:fldCharType="separate"/>
      </w:r>
      <w:r>
        <w:t>24</w:t>
      </w:r>
      <w:r>
        <w:fldChar w:fldCharType="end"/>
      </w:r>
      <w:r>
        <w:fldChar w:fldCharType="end"/>
      </w:r>
    </w:p>
    <w:p w14:paraId="3F37A264">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"_Toc152656720" </w:instrText>
      </w:r>
      <w:r>
        <w:fldChar w:fldCharType="separate"/>
      </w:r>
      <w:r>
        <w:rPr>
          <w:rStyle w:val="38"/>
          <w:rFonts w:hint="eastAsia" w:cs="宋体"/>
        </w:rPr>
        <w:t>第三章</w:t>
      </w:r>
      <w:r>
        <w:rPr>
          <w:rStyle w:val="38"/>
          <w:rFonts w:cs="宋体"/>
        </w:rPr>
        <w:t xml:space="preserve"> </w:t>
      </w:r>
      <w:r>
        <w:rPr>
          <w:rStyle w:val="38"/>
          <w:rFonts w:hint="eastAsia" w:cs="宋体"/>
        </w:rPr>
        <w:t>评标办法</w:t>
      </w:r>
      <w:r>
        <w:tab/>
      </w:r>
      <w:r>
        <w:fldChar w:fldCharType="begin"/>
      </w:r>
      <w:r>
        <w:instrText xml:space="preserve"> PAGEREF _Toc152656720 \h </w:instrText>
      </w:r>
      <w:r>
        <w:fldChar w:fldCharType="separate"/>
      </w:r>
      <w:r>
        <w:t>25</w:t>
      </w:r>
      <w:r>
        <w:fldChar w:fldCharType="end"/>
      </w:r>
      <w:r>
        <w:fldChar w:fldCharType="end"/>
      </w:r>
    </w:p>
    <w:p w14:paraId="545DA6A6">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"_Toc152656721" </w:instrText>
      </w:r>
      <w:r>
        <w:fldChar w:fldCharType="separate"/>
      </w:r>
      <w:r>
        <w:rPr>
          <w:rStyle w:val="38"/>
          <w:rFonts w:hint="eastAsia" w:ascii="宋体" w:hAnsi="宋体" w:cs="宋体"/>
        </w:rPr>
        <w:t>一、资格审查</w:t>
      </w:r>
      <w:r>
        <w:tab/>
      </w:r>
      <w:r>
        <w:fldChar w:fldCharType="begin"/>
      </w:r>
      <w:r>
        <w:instrText xml:space="preserve"> PAGEREF _Toc152656721 \h </w:instrText>
      </w:r>
      <w:r>
        <w:fldChar w:fldCharType="separate"/>
      </w:r>
      <w:r>
        <w:t>25</w:t>
      </w:r>
      <w:r>
        <w:fldChar w:fldCharType="end"/>
      </w:r>
      <w:r>
        <w:fldChar w:fldCharType="end"/>
      </w:r>
    </w:p>
    <w:p w14:paraId="27CF23B8">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"_Toc152656722" </w:instrText>
      </w:r>
      <w:r>
        <w:fldChar w:fldCharType="separate"/>
      </w:r>
      <w:r>
        <w:rPr>
          <w:rStyle w:val="38"/>
          <w:rFonts w:hint="eastAsia" w:ascii="宋体" w:hAnsi="宋体" w:cs="宋体"/>
        </w:rPr>
        <w:t>二、符合性评审</w:t>
      </w:r>
      <w:r>
        <w:tab/>
      </w:r>
      <w:r>
        <w:fldChar w:fldCharType="begin"/>
      </w:r>
      <w:r>
        <w:instrText xml:space="preserve"> PAGEREF _Toc152656722 \h </w:instrText>
      </w:r>
      <w:r>
        <w:fldChar w:fldCharType="separate"/>
      </w:r>
      <w:r>
        <w:t>27</w:t>
      </w:r>
      <w:r>
        <w:fldChar w:fldCharType="end"/>
      </w:r>
      <w:r>
        <w:fldChar w:fldCharType="end"/>
      </w:r>
    </w:p>
    <w:p w14:paraId="509A1585">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"_Toc152656723" </w:instrText>
      </w:r>
      <w:r>
        <w:fldChar w:fldCharType="separate"/>
      </w:r>
      <w:r>
        <w:rPr>
          <w:rStyle w:val="38"/>
          <w:rFonts w:hint="eastAsia" w:ascii="宋体" w:hAnsi="宋体" w:cs="宋体"/>
        </w:rPr>
        <w:t>三、分值构成（总分</w:t>
      </w:r>
      <w:r>
        <w:rPr>
          <w:rStyle w:val="38"/>
          <w:rFonts w:ascii="宋体" w:hAnsi="宋体" w:cs="宋体"/>
        </w:rPr>
        <w:t>100</w:t>
      </w:r>
      <w:r>
        <w:rPr>
          <w:rStyle w:val="38"/>
          <w:rFonts w:hint="eastAsia" w:ascii="宋体" w:hAnsi="宋体" w:cs="宋体"/>
        </w:rPr>
        <w:t>分）</w:t>
      </w:r>
      <w:r>
        <w:tab/>
      </w:r>
      <w:r>
        <w:fldChar w:fldCharType="begin"/>
      </w:r>
      <w:r>
        <w:instrText xml:space="preserve"> PAGEREF _Toc152656723 \h </w:instrText>
      </w:r>
      <w:r>
        <w:fldChar w:fldCharType="separate"/>
      </w:r>
      <w:r>
        <w:t>28</w:t>
      </w:r>
      <w:r>
        <w:fldChar w:fldCharType="end"/>
      </w:r>
      <w:r>
        <w:fldChar w:fldCharType="end"/>
      </w:r>
    </w:p>
    <w:p w14:paraId="42387AB0">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"_Toc152656724" </w:instrText>
      </w:r>
      <w:r>
        <w:fldChar w:fldCharType="separate"/>
      </w:r>
      <w:r>
        <w:rPr>
          <w:rStyle w:val="38"/>
          <w:rFonts w:ascii="宋体" w:hAnsi="宋体" w:cs="宋体"/>
        </w:rPr>
        <w:t>1</w:t>
      </w:r>
      <w:r>
        <w:rPr>
          <w:rStyle w:val="38"/>
          <w:rFonts w:hint="eastAsia" w:ascii="宋体" w:hAnsi="宋体" w:cs="宋体"/>
        </w:rPr>
        <w:t>、评标方法</w:t>
      </w:r>
      <w:r>
        <w:tab/>
      </w:r>
      <w:r>
        <w:fldChar w:fldCharType="begin"/>
      </w:r>
      <w:r>
        <w:instrText xml:space="preserve"> PAGEREF _Toc152656724 \h </w:instrText>
      </w:r>
      <w:r>
        <w:fldChar w:fldCharType="separate"/>
      </w:r>
      <w:r>
        <w:t>33</w:t>
      </w:r>
      <w:r>
        <w:fldChar w:fldCharType="end"/>
      </w:r>
      <w:r>
        <w:fldChar w:fldCharType="end"/>
      </w:r>
    </w:p>
    <w:p w14:paraId="0BC796F2">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"_Toc152656725" </w:instrText>
      </w:r>
      <w:r>
        <w:fldChar w:fldCharType="separate"/>
      </w:r>
      <w:r>
        <w:rPr>
          <w:rStyle w:val="38"/>
          <w:rFonts w:ascii="宋体" w:hAnsi="宋体" w:cs="宋体"/>
        </w:rPr>
        <w:t>2</w:t>
      </w:r>
      <w:r>
        <w:rPr>
          <w:rStyle w:val="38"/>
          <w:rFonts w:hint="eastAsia" w:ascii="宋体" w:hAnsi="宋体" w:cs="宋体"/>
        </w:rPr>
        <w:t>、评审标准</w:t>
      </w:r>
      <w:r>
        <w:tab/>
      </w:r>
      <w:r>
        <w:fldChar w:fldCharType="begin"/>
      </w:r>
      <w:r>
        <w:instrText xml:space="preserve"> PAGEREF _Toc152656725 \h </w:instrText>
      </w:r>
      <w:r>
        <w:fldChar w:fldCharType="separate"/>
      </w:r>
      <w:r>
        <w:t>33</w:t>
      </w:r>
      <w:r>
        <w:fldChar w:fldCharType="end"/>
      </w:r>
      <w:r>
        <w:fldChar w:fldCharType="end"/>
      </w:r>
    </w:p>
    <w:p w14:paraId="02F66FB3">
      <w:pPr>
        <w:pStyle w:val="22"/>
        <w:tabs>
          <w:tab w:val="right" w:leader="dot" w:pos="9736"/>
        </w:tabs>
        <w:rPr>
          <w:rFonts w:asciiTheme="minorHAnsi" w:hAnsiTheme="minorHAnsi" w:eastAsiaTheme="minorEastAsia" w:cstheme="minorBidi"/>
          <w:smallCaps w:val="0"/>
          <w:sz w:val="21"/>
          <w:szCs w:val="22"/>
        </w:rPr>
      </w:pPr>
      <w:r>
        <w:fldChar w:fldCharType="begin"/>
      </w:r>
      <w:r>
        <w:instrText xml:space="preserve"> HYPERLINK \l "_Toc152656726" </w:instrText>
      </w:r>
      <w:r>
        <w:fldChar w:fldCharType="separate"/>
      </w:r>
      <w:r>
        <w:rPr>
          <w:rStyle w:val="38"/>
          <w:rFonts w:ascii="宋体" w:hAnsi="宋体" w:cs="宋体"/>
        </w:rPr>
        <w:t>3</w:t>
      </w:r>
      <w:r>
        <w:rPr>
          <w:rStyle w:val="38"/>
          <w:rFonts w:hint="eastAsia" w:ascii="宋体" w:hAnsi="宋体" w:cs="宋体"/>
        </w:rPr>
        <w:t>、评标程序</w:t>
      </w:r>
      <w:r>
        <w:tab/>
      </w:r>
      <w:r>
        <w:fldChar w:fldCharType="begin"/>
      </w:r>
      <w:r>
        <w:instrText xml:space="preserve"> PAGEREF _Toc152656726 \h </w:instrText>
      </w:r>
      <w:r>
        <w:fldChar w:fldCharType="separate"/>
      </w:r>
      <w:r>
        <w:t>33</w:t>
      </w:r>
      <w:r>
        <w:fldChar w:fldCharType="end"/>
      </w:r>
      <w:r>
        <w:fldChar w:fldCharType="end"/>
      </w:r>
    </w:p>
    <w:p w14:paraId="4327D8D4">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"_Toc152656727" </w:instrText>
      </w:r>
      <w:r>
        <w:fldChar w:fldCharType="separate"/>
      </w:r>
      <w:r>
        <w:rPr>
          <w:rStyle w:val="38"/>
          <w:rFonts w:hint="eastAsia" w:cs="宋体"/>
        </w:rPr>
        <w:t>第四章</w:t>
      </w:r>
      <w:r>
        <w:rPr>
          <w:rStyle w:val="38"/>
          <w:rFonts w:cs="宋体"/>
        </w:rPr>
        <w:t xml:space="preserve"> </w:t>
      </w:r>
      <w:r>
        <w:rPr>
          <w:rStyle w:val="38"/>
          <w:rFonts w:hint="eastAsia" w:cs="宋体"/>
        </w:rPr>
        <w:t>合同条款及格式</w:t>
      </w:r>
      <w:r>
        <w:tab/>
      </w:r>
      <w:r>
        <w:fldChar w:fldCharType="begin"/>
      </w:r>
      <w:r>
        <w:instrText xml:space="preserve"> PAGEREF _Toc152656727 \h </w:instrText>
      </w:r>
      <w:r>
        <w:fldChar w:fldCharType="separate"/>
      </w:r>
      <w:r>
        <w:t>36</w:t>
      </w:r>
      <w:r>
        <w:fldChar w:fldCharType="end"/>
      </w:r>
      <w:r>
        <w:fldChar w:fldCharType="end"/>
      </w:r>
    </w:p>
    <w:p w14:paraId="6AB61CB3">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"_Toc152656728" </w:instrText>
      </w:r>
      <w:r>
        <w:fldChar w:fldCharType="separate"/>
      </w:r>
      <w:r>
        <w:rPr>
          <w:rStyle w:val="38"/>
          <w:rFonts w:hint="eastAsia" w:cs="宋体"/>
        </w:rPr>
        <w:t>第五章</w:t>
      </w:r>
      <w:r>
        <w:rPr>
          <w:rStyle w:val="38"/>
          <w:rFonts w:cs="宋体"/>
        </w:rPr>
        <w:t xml:space="preserve"> </w:t>
      </w:r>
      <w:r>
        <w:rPr>
          <w:rStyle w:val="38"/>
          <w:rFonts w:hint="eastAsia" w:cs="宋体"/>
        </w:rPr>
        <w:t>项目需求</w:t>
      </w:r>
      <w:r>
        <w:tab/>
      </w:r>
      <w:r>
        <w:fldChar w:fldCharType="begin"/>
      </w:r>
      <w:r>
        <w:instrText xml:space="preserve"> PAGEREF _Toc152656728 \h </w:instrText>
      </w:r>
      <w:r>
        <w:fldChar w:fldCharType="separate"/>
      </w:r>
      <w:r>
        <w:t>46</w:t>
      </w:r>
      <w:r>
        <w:fldChar w:fldCharType="end"/>
      </w:r>
      <w:r>
        <w:fldChar w:fldCharType="end"/>
      </w:r>
    </w:p>
    <w:p w14:paraId="6777EE25">
      <w:pPr>
        <w:pStyle w:val="19"/>
        <w:tabs>
          <w:tab w:val="right" w:leader="dot" w:pos="9736"/>
        </w:tabs>
        <w:rPr>
          <w:rFonts w:asciiTheme="minorHAnsi" w:hAnsiTheme="minorHAnsi" w:eastAsiaTheme="minorEastAsia" w:cstheme="minorBidi"/>
          <w:b w:val="0"/>
          <w:bCs w:val="0"/>
          <w:caps w:val="0"/>
          <w:sz w:val="21"/>
          <w:szCs w:val="22"/>
        </w:rPr>
      </w:pPr>
      <w:r>
        <w:fldChar w:fldCharType="begin"/>
      </w:r>
      <w:r>
        <w:instrText xml:space="preserve"> HYPERLINK \l "_Toc152656729" </w:instrText>
      </w:r>
      <w:r>
        <w:fldChar w:fldCharType="separate"/>
      </w:r>
      <w:r>
        <w:rPr>
          <w:rStyle w:val="38"/>
          <w:rFonts w:hint="eastAsia" w:cs="宋体"/>
          <w:kern w:val="44"/>
        </w:rPr>
        <w:t>第六章</w:t>
      </w:r>
      <w:r>
        <w:rPr>
          <w:rStyle w:val="38"/>
          <w:rFonts w:cs="宋体"/>
          <w:kern w:val="44"/>
        </w:rPr>
        <w:t xml:space="preserve"> </w:t>
      </w:r>
      <w:r>
        <w:rPr>
          <w:rStyle w:val="38"/>
          <w:rFonts w:hint="eastAsia" w:cs="宋体"/>
          <w:kern w:val="44"/>
        </w:rPr>
        <w:t>响应文件格式</w:t>
      </w:r>
      <w:r>
        <w:tab/>
      </w:r>
      <w:r>
        <w:fldChar w:fldCharType="begin"/>
      </w:r>
      <w:r>
        <w:instrText xml:space="preserve"> PAGEREF _Toc152656729 \h </w:instrText>
      </w:r>
      <w:r>
        <w:fldChar w:fldCharType="separate"/>
      </w:r>
      <w:r>
        <w:t>64</w:t>
      </w:r>
      <w:r>
        <w:fldChar w:fldCharType="end"/>
      </w:r>
      <w:r>
        <w:fldChar w:fldCharType="end"/>
      </w:r>
    </w:p>
    <w:p w14:paraId="7EF7E997">
      <w:pPr>
        <w:tabs>
          <w:tab w:val="right" w:leader="dot" w:pos="9734"/>
        </w:tabs>
        <w:spacing w:before="198" w:line="193" w:lineRule="auto"/>
        <w:ind w:left="219"/>
        <w:rPr>
          <w:rFonts w:ascii="Calibri" w:hAnsi="Calibri" w:eastAsia="Calibri" w:cs="Calibri"/>
          <w:sz w:val="19"/>
          <w:szCs w:val="19"/>
        </w:rPr>
      </w:pPr>
      <w:r>
        <w:fldChar w:fldCharType="begin"/>
      </w:r>
      <w:r>
        <w:instrText xml:space="preserve"> HYPERLINK \l "bookmark24" </w:instrText>
      </w:r>
      <w:r>
        <w:fldChar w:fldCharType="separate"/>
      </w:r>
      <w:r>
        <w:rPr>
          <w:rFonts w:ascii="宋体" w:hAnsi="宋体" w:cs="宋体"/>
          <w:spacing w:val="8"/>
          <w:sz w:val="19"/>
          <w:szCs w:val="19"/>
        </w:rPr>
        <w:t>一、投标函及投标函附录</w:t>
      </w:r>
      <w:r>
        <w:rPr>
          <w:rFonts w:ascii="宋体" w:hAnsi="宋体" w:cs="宋体"/>
          <w:spacing w:val="-44"/>
          <w:sz w:val="19"/>
          <w:szCs w:val="19"/>
        </w:rPr>
        <w:t xml:space="preserve"> </w:t>
      </w:r>
      <w:r>
        <w:rPr>
          <w:rFonts w:ascii="宋体" w:hAnsi="宋体" w:cs="宋体"/>
          <w:sz w:val="19"/>
          <w:szCs w:val="19"/>
        </w:rPr>
        <w:tab/>
      </w:r>
      <w:r>
        <w:rPr>
          <w:rFonts w:ascii="宋体" w:hAnsi="宋体" w:cs="宋体"/>
          <w:spacing w:val="-39"/>
          <w:sz w:val="19"/>
          <w:szCs w:val="19"/>
        </w:rPr>
        <w:t xml:space="preserve"> </w:t>
      </w:r>
      <w:r>
        <w:rPr>
          <w:rFonts w:ascii="Calibri" w:hAnsi="Calibri" w:eastAsia="Calibri" w:cs="Calibri"/>
          <w:spacing w:val="-1"/>
          <w:sz w:val="19"/>
          <w:szCs w:val="19"/>
        </w:rPr>
        <w:t>51</w:t>
      </w:r>
      <w:r>
        <w:rPr>
          <w:rFonts w:ascii="Calibri" w:hAnsi="Calibri" w:eastAsia="Calibri" w:cs="Calibri"/>
          <w:spacing w:val="-1"/>
          <w:sz w:val="19"/>
          <w:szCs w:val="19"/>
        </w:rPr>
        <w:fldChar w:fldCharType="end"/>
      </w:r>
    </w:p>
    <w:p w14:paraId="07C93221">
      <w:pPr>
        <w:tabs>
          <w:tab w:val="right" w:leader="dot" w:pos="9734"/>
        </w:tabs>
        <w:spacing w:before="114" w:line="193" w:lineRule="auto"/>
        <w:ind w:left="219"/>
        <w:rPr>
          <w:rFonts w:ascii="Calibri" w:hAnsi="Calibri" w:eastAsia="Calibri" w:cs="Calibri"/>
          <w:sz w:val="19"/>
          <w:szCs w:val="19"/>
        </w:rPr>
      </w:pPr>
      <w:r>
        <w:fldChar w:fldCharType="begin"/>
      </w:r>
      <w:r>
        <w:instrText xml:space="preserve"> HYPERLINK \l "bookmark25" </w:instrText>
      </w:r>
      <w:r>
        <w:fldChar w:fldCharType="separate"/>
      </w:r>
      <w:r>
        <w:rPr>
          <w:rFonts w:ascii="宋体" w:hAnsi="宋体" w:cs="宋体"/>
          <w:spacing w:val="9"/>
          <w:sz w:val="19"/>
          <w:szCs w:val="19"/>
        </w:rPr>
        <w:t>二、法定代表人身份证明及授权委托书</w:t>
      </w:r>
      <w:r>
        <w:rPr>
          <w:rFonts w:ascii="宋体" w:hAnsi="宋体" w:cs="宋体"/>
          <w:spacing w:val="-49"/>
          <w:sz w:val="19"/>
          <w:szCs w:val="19"/>
        </w:rPr>
        <w:t xml:space="preserve"> </w:t>
      </w:r>
      <w:r>
        <w:rPr>
          <w:rFonts w:ascii="宋体" w:hAnsi="宋体" w:cs="宋体"/>
          <w:sz w:val="19"/>
          <w:szCs w:val="19"/>
        </w:rPr>
        <w:tab/>
      </w:r>
      <w:r>
        <w:rPr>
          <w:rFonts w:ascii="宋体" w:hAnsi="宋体" w:cs="宋体"/>
          <w:spacing w:val="-39"/>
          <w:sz w:val="19"/>
          <w:szCs w:val="19"/>
        </w:rPr>
        <w:t xml:space="preserve"> </w:t>
      </w:r>
      <w:r>
        <w:rPr>
          <w:rFonts w:ascii="Calibri" w:hAnsi="Calibri" w:eastAsia="Calibri" w:cs="Calibri"/>
          <w:spacing w:val="-1"/>
          <w:sz w:val="19"/>
          <w:szCs w:val="19"/>
        </w:rPr>
        <w:t>53</w:t>
      </w:r>
      <w:r>
        <w:rPr>
          <w:rFonts w:ascii="Calibri" w:hAnsi="Calibri" w:eastAsia="Calibri" w:cs="Calibri"/>
          <w:spacing w:val="-1"/>
          <w:sz w:val="19"/>
          <w:szCs w:val="19"/>
        </w:rPr>
        <w:fldChar w:fldCharType="end"/>
      </w:r>
    </w:p>
    <w:p w14:paraId="4C94E199">
      <w:pPr>
        <w:tabs>
          <w:tab w:val="right" w:leader="dot" w:pos="9734"/>
        </w:tabs>
        <w:spacing w:before="113" w:line="193" w:lineRule="auto"/>
        <w:ind w:left="216"/>
        <w:rPr>
          <w:rFonts w:ascii="Calibri" w:hAnsi="Calibri" w:eastAsia="Calibri" w:cs="Calibri"/>
          <w:sz w:val="19"/>
          <w:szCs w:val="19"/>
        </w:rPr>
      </w:pPr>
      <w:r>
        <w:fldChar w:fldCharType="begin"/>
      </w:r>
      <w:r>
        <w:instrText xml:space="preserve"> HYPERLINK \l "bookmark26" </w:instrText>
      </w:r>
      <w:r>
        <w:fldChar w:fldCharType="separate"/>
      </w:r>
      <w:r>
        <w:rPr>
          <w:rFonts w:ascii="宋体" w:hAnsi="宋体" w:cs="宋体"/>
          <w:spacing w:val="8"/>
          <w:sz w:val="19"/>
          <w:szCs w:val="19"/>
        </w:rPr>
        <w:t>三、资格审查资料</w:t>
      </w:r>
      <w:r>
        <w:rPr>
          <w:rFonts w:ascii="宋体" w:hAnsi="宋体" w:cs="宋体"/>
          <w:spacing w:val="-46"/>
          <w:sz w:val="19"/>
          <w:szCs w:val="19"/>
        </w:rPr>
        <w:t xml:space="preserve"> </w:t>
      </w:r>
      <w:r>
        <w:rPr>
          <w:rFonts w:ascii="宋体" w:hAnsi="宋体" w:cs="宋体"/>
          <w:sz w:val="19"/>
          <w:szCs w:val="19"/>
        </w:rPr>
        <w:tab/>
      </w:r>
      <w:r>
        <w:rPr>
          <w:rFonts w:ascii="宋体" w:hAnsi="宋体" w:cs="宋体"/>
          <w:spacing w:val="-39"/>
          <w:sz w:val="19"/>
          <w:szCs w:val="19"/>
        </w:rPr>
        <w:t xml:space="preserve"> </w:t>
      </w:r>
      <w:r>
        <w:rPr>
          <w:rFonts w:ascii="Calibri" w:hAnsi="Calibri" w:eastAsia="Calibri" w:cs="Calibri"/>
          <w:spacing w:val="-1"/>
          <w:sz w:val="19"/>
          <w:szCs w:val="19"/>
        </w:rPr>
        <w:t>55</w:t>
      </w:r>
      <w:r>
        <w:rPr>
          <w:rFonts w:ascii="Calibri" w:hAnsi="Calibri" w:eastAsia="Calibri" w:cs="Calibri"/>
          <w:spacing w:val="-1"/>
          <w:sz w:val="19"/>
          <w:szCs w:val="19"/>
        </w:rPr>
        <w:fldChar w:fldCharType="end"/>
      </w:r>
    </w:p>
    <w:p w14:paraId="069F7A9C">
      <w:pPr>
        <w:tabs>
          <w:tab w:val="right" w:leader="dot" w:pos="9734"/>
        </w:tabs>
        <w:spacing w:before="113" w:line="193" w:lineRule="auto"/>
        <w:ind w:left="235"/>
        <w:rPr>
          <w:rFonts w:ascii="Calibri" w:hAnsi="Calibri" w:eastAsia="Calibri" w:cs="Calibri"/>
          <w:sz w:val="19"/>
          <w:szCs w:val="19"/>
        </w:rPr>
      </w:pPr>
      <w:r>
        <w:fldChar w:fldCharType="begin"/>
      </w:r>
      <w:r>
        <w:instrText xml:space="preserve"> HYPERLINK \l "bookmark27" </w:instrText>
      </w:r>
      <w:r>
        <w:fldChar w:fldCharType="separate"/>
      </w:r>
      <w:r>
        <w:rPr>
          <w:rFonts w:ascii="宋体" w:hAnsi="宋体" w:cs="宋体"/>
          <w:spacing w:val="6"/>
          <w:sz w:val="19"/>
          <w:szCs w:val="19"/>
        </w:rPr>
        <w:t>四、投标一览表</w:t>
      </w:r>
      <w:r>
        <w:rPr>
          <w:rFonts w:ascii="宋体" w:hAnsi="宋体" w:cs="宋体"/>
          <w:sz w:val="19"/>
          <w:szCs w:val="19"/>
        </w:rPr>
        <w:tab/>
      </w:r>
      <w:r>
        <w:rPr>
          <w:rFonts w:ascii="宋体" w:hAnsi="宋体" w:cs="宋体"/>
          <w:spacing w:val="-37"/>
          <w:sz w:val="19"/>
          <w:szCs w:val="19"/>
        </w:rPr>
        <w:t xml:space="preserve"> </w:t>
      </w:r>
      <w:r>
        <w:rPr>
          <w:rFonts w:ascii="Calibri" w:hAnsi="Calibri" w:eastAsia="Calibri" w:cs="Calibri"/>
          <w:spacing w:val="-1"/>
          <w:sz w:val="19"/>
          <w:szCs w:val="19"/>
        </w:rPr>
        <w:t>56</w:t>
      </w:r>
      <w:r>
        <w:rPr>
          <w:rFonts w:ascii="Calibri" w:hAnsi="Calibri" w:eastAsia="Calibri" w:cs="Calibri"/>
          <w:spacing w:val="-1"/>
          <w:sz w:val="19"/>
          <w:szCs w:val="19"/>
        </w:rPr>
        <w:fldChar w:fldCharType="end"/>
      </w:r>
    </w:p>
    <w:p w14:paraId="2F2F65D9">
      <w:pPr>
        <w:tabs>
          <w:tab w:val="right" w:leader="dot" w:pos="9734"/>
        </w:tabs>
        <w:spacing w:before="114" w:line="193" w:lineRule="auto"/>
        <w:ind w:left="219"/>
        <w:rPr>
          <w:rFonts w:ascii="Calibri" w:hAnsi="Calibri" w:eastAsia="Calibri" w:cs="Calibri"/>
          <w:sz w:val="19"/>
          <w:szCs w:val="19"/>
        </w:rPr>
      </w:pPr>
      <w:r>
        <w:fldChar w:fldCharType="begin"/>
      </w:r>
      <w:r>
        <w:instrText xml:space="preserve"> HYPERLINK \l "bookmark28" </w:instrText>
      </w:r>
      <w:r>
        <w:fldChar w:fldCharType="separate"/>
      </w:r>
      <w:r>
        <w:rPr>
          <w:rFonts w:ascii="宋体" w:hAnsi="宋体" w:cs="宋体"/>
          <w:spacing w:val="8"/>
          <w:sz w:val="19"/>
          <w:szCs w:val="19"/>
        </w:rPr>
        <w:t>五、分项报价明细表</w:t>
      </w:r>
      <w:r>
        <w:rPr>
          <w:rFonts w:ascii="宋体" w:hAnsi="宋体" w:cs="宋体"/>
          <w:sz w:val="19"/>
          <w:szCs w:val="19"/>
        </w:rPr>
        <w:tab/>
      </w:r>
      <w:r>
        <w:rPr>
          <w:rFonts w:ascii="宋体" w:hAnsi="宋体" w:cs="宋体"/>
          <w:spacing w:val="-38"/>
          <w:sz w:val="19"/>
          <w:szCs w:val="19"/>
        </w:rPr>
        <w:t xml:space="preserve"> </w:t>
      </w:r>
      <w:r>
        <w:rPr>
          <w:rFonts w:ascii="Calibri" w:hAnsi="Calibri" w:eastAsia="Calibri" w:cs="Calibri"/>
          <w:spacing w:val="-1"/>
          <w:sz w:val="19"/>
          <w:szCs w:val="19"/>
        </w:rPr>
        <w:t>57</w:t>
      </w:r>
      <w:r>
        <w:rPr>
          <w:rFonts w:ascii="Calibri" w:hAnsi="Calibri" w:eastAsia="Calibri" w:cs="Calibri"/>
          <w:spacing w:val="-1"/>
          <w:sz w:val="19"/>
          <w:szCs w:val="19"/>
        </w:rPr>
        <w:fldChar w:fldCharType="end"/>
      </w:r>
    </w:p>
    <w:p w14:paraId="486311FE">
      <w:pPr>
        <w:tabs>
          <w:tab w:val="right" w:leader="dot" w:pos="9734"/>
        </w:tabs>
        <w:spacing w:before="113" w:line="193" w:lineRule="auto"/>
        <w:ind w:left="218"/>
        <w:rPr>
          <w:rFonts w:ascii="Calibri" w:hAnsi="Calibri" w:eastAsia="Calibri" w:cs="Calibri"/>
          <w:sz w:val="19"/>
          <w:szCs w:val="19"/>
        </w:rPr>
      </w:pPr>
      <w:r>
        <w:fldChar w:fldCharType="begin"/>
      </w:r>
      <w:r>
        <w:instrText xml:space="preserve"> HYPERLINK \l "bookmark29" </w:instrText>
      </w:r>
      <w:r>
        <w:fldChar w:fldCharType="separate"/>
      </w:r>
      <w:r>
        <w:rPr>
          <w:rFonts w:ascii="宋体" w:hAnsi="宋体" w:cs="宋体"/>
          <w:spacing w:val="9"/>
          <w:sz w:val="19"/>
          <w:szCs w:val="19"/>
        </w:rPr>
        <w:t>六、技术规格和商务条款偏差表</w:t>
      </w:r>
      <w:r>
        <w:rPr>
          <w:rFonts w:ascii="宋体" w:hAnsi="宋体" w:cs="宋体"/>
          <w:spacing w:val="-50"/>
          <w:sz w:val="19"/>
          <w:szCs w:val="19"/>
        </w:rPr>
        <w:t xml:space="preserve"> </w:t>
      </w:r>
      <w:r>
        <w:rPr>
          <w:rFonts w:ascii="宋体" w:hAnsi="宋体" w:cs="宋体"/>
          <w:sz w:val="19"/>
          <w:szCs w:val="19"/>
        </w:rPr>
        <w:tab/>
      </w:r>
      <w:r>
        <w:rPr>
          <w:rFonts w:ascii="宋体" w:hAnsi="宋体" w:cs="宋体"/>
          <w:spacing w:val="-39"/>
          <w:sz w:val="19"/>
          <w:szCs w:val="19"/>
        </w:rPr>
        <w:t xml:space="preserve"> </w:t>
      </w:r>
      <w:r>
        <w:rPr>
          <w:rFonts w:ascii="Calibri" w:hAnsi="Calibri" w:eastAsia="Calibri" w:cs="Calibri"/>
          <w:spacing w:val="-1"/>
          <w:sz w:val="19"/>
          <w:szCs w:val="19"/>
        </w:rPr>
        <w:t>58</w:t>
      </w:r>
      <w:r>
        <w:rPr>
          <w:rFonts w:ascii="Calibri" w:hAnsi="Calibri" w:eastAsia="Calibri" w:cs="Calibri"/>
          <w:spacing w:val="-1"/>
          <w:sz w:val="19"/>
          <w:szCs w:val="19"/>
        </w:rPr>
        <w:fldChar w:fldCharType="end"/>
      </w:r>
    </w:p>
    <w:p w14:paraId="1BB62726">
      <w:pPr>
        <w:tabs>
          <w:tab w:val="right" w:leader="dot" w:pos="9734"/>
        </w:tabs>
        <w:spacing w:before="113" w:line="193" w:lineRule="auto"/>
        <w:ind w:left="215"/>
        <w:rPr>
          <w:rFonts w:ascii="Calibri" w:hAnsi="Calibri" w:eastAsia="Calibri" w:cs="Calibri"/>
          <w:sz w:val="19"/>
          <w:szCs w:val="19"/>
        </w:rPr>
      </w:pPr>
      <w:r>
        <w:fldChar w:fldCharType="begin"/>
      </w:r>
      <w:r>
        <w:instrText xml:space="preserve"> HYPERLINK \l "bookmark30" </w:instrText>
      </w:r>
      <w:r>
        <w:fldChar w:fldCharType="separate"/>
      </w:r>
      <w:r>
        <w:rPr>
          <w:rFonts w:ascii="宋体" w:hAnsi="宋体" w:cs="宋体"/>
          <w:spacing w:val="9"/>
          <w:sz w:val="19"/>
          <w:szCs w:val="19"/>
        </w:rPr>
        <w:t>七、廉洁投标承诺书</w:t>
      </w:r>
      <w:r>
        <w:rPr>
          <w:rFonts w:ascii="宋体" w:hAnsi="宋体" w:cs="宋体"/>
          <w:sz w:val="19"/>
          <w:szCs w:val="19"/>
        </w:rPr>
        <w:tab/>
      </w:r>
      <w:r>
        <w:rPr>
          <w:rFonts w:ascii="宋体" w:hAnsi="宋体" w:cs="宋体"/>
          <w:spacing w:val="-38"/>
          <w:sz w:val="19"/>
          <w:szCs w:val="19"/>
        </w:rPr>
        <w:t xml:space="preserve"> </w:t>
      </w:r>
      <w:r>
        <w:rPr>
          <w:rFonts w:ascii="Calibri" w:hAnsi="Calibri" w:eastAsia="Calibri" w:cs="Calibri"/>
          <w:spacing w:val="-1"/>
          <w:sz w:val="19"/>
          <w:szCs w:val="19"/>
        </w:rPr>
        <w:t>59</w:t>
      </w:r>
      <w:r>
        <w:rPr>
          <w:rFonts w:ascii="Calibri" w:hAnsi="Calibri" w:eastAsia="Calibri" w:cs="Calibri"/>
          <w:spacing w:val="-1"/>
          <w:sz w:val="19"/>
          <w:szCs w:val="19"/>
        </w:rPr>
        <w:fldChar w:fldCharType="end"/>
      </w:r>
    </w:p>
    <w:p w14:paraId="3608A988">
      <w:pPr>
        <w:tabs>
          <w:tab w:val="right" w:leader="dot" w:pos="9734"/>
        </w:tabs>
        <w:spacing w:before="114" w:line="193" w:lineRule="auto"/>
        <w:ind w:left="219"/>
        <w:rPr>
          <w:rFonts w:ascii="Calibri" w:hAnsi="Calibri" w:eastAsia="Calibri" w:cs="Calibri"/>
          <w:sz w:val="19"/>
          <w:szCs w:val="19"/>
        </w:rPr>
      </w:pPr>
      <w:r>
        <w:fldChar w:fldCharType="begin"/>
      </w:r>
      <w:r>
        <w:instrText xml:space="preserve"> HYPERLINK \l "bookmark31" </w:instrText>
      </w:r>
      <w:r>
        <w:fldChar w:fldCharType="separate"/>
      </w:r>
      <w:r>
        <w:rPr>
          <w:rFonts w:ascii="宋体" w:hAnsi="宋体" w:cs="宋体"/>
          <w:spacing w:val="8"/>
          <w:sz w:val="19"/>
          <w:szCs w:val="19"/>
        </w:rPr>
        <w:t>八、中小企业声明函</w:t>
      </w:r>
      <w:r>
        <w:rPr>
          <w:rFonts w:ascii="宋体" w:hAnsi="宋体" w:cs="宋体"/>
          <w:sz w:val="19"/>
          <w:szCs w:val="19"/>
        </w:rPr>
        <w:tab/>
      </w:r>
      <w:r>
        <w:rPr>
          <w:rFonts w:ascii="宋体" w:hAnsi="宋体" w:cs="宋体"/>
          <w:spacing w:val="-37"/>
          <w:sz w:val="19"/>
          <w:szCs w:val="19"/>
        </w:rPr>
        <w:t xml:space="preserve"> </w:t>
      </w:r>
      <w:r>
        <w:rPr>
          <w:rFonts w:ascii="Calibri" w:hAnsi="Calibri" w:eastAsia="Calibri" w:cs="Calibri"/>
          <w:spacing w:val="-1"/>
          <w:sz w:val="19"/>
          <w:szCs w:val="19"/>
        </w:rPr>
        <w:t>60</w:t>
      </w:r>
      <w:r>
        <w:rPr>
          <w:rFonts w:ascii="Calibri" w:hAnsi="Calibri" w:eastAsia="Calibri" w:cs="Calibri"/>
          <w:spacing w:val="-1"/>
          <w:sz w:val="19"/>
          <w:szCs w:val="19"/>
        </w:rPr>
        <w:fldChar w:fldCharType="end"/>
      </w:r>
    </w:p>
    <w:p w14:paraId="055CA040">
      <w:pPr>
        <w:tabs>
          <w:tab w:val="right" w:leader="dot" w:pos="9734"/>
        </w:tabs>
        <w:spacing w:before="113" w:line="193" w:lineRule="auto"/>
        <w:ind w:left="221"/>
        <w:rPr>
          <w:rFonts w:ascii="Calibri" w:hAnsi="Calibri" w:eastAsia="Calibri" w:cs="Calibri"/>
          <w:sz w:val="19"/>
          <w:szCs w:val="19"/>
        </w:rPr>
      </w:pPr>
      <w:r>
        <w:fldChar w:fldCharType="begin"/>
      </w:r>
      <w:r>
        <w:instrText xml:space="preserve"> HYPERLINK \l "bookmark32" </w:instrText>
      </w:r>
      <w:r>
        <w:fldChar w:fldCharType="separate"/>
      </w:r>
      <w:r>
        <w:rPr>
          <w:rFonts w:ascii="宋体" w:hAnsi="宋体" w:cs="宋体"/>
          <w:spacing w:val="8"/>
          <w:sz w:val="19"/>
          <w:szCs w:val="19"/>
        </w:rPr>
        <w:t>九、残疾人福利性单位声明函</w:t>
      </w:r>
      <w:r>
        <w:rPr>
          <w:rFonts w:ascii="宋体" w:hAnsi="宋体" w:cs="宋体"/>
          <w:sz w:val="19"/>
          <w:szCs w:val="19"/>
        </w:rPr>
        <w:tab/>
      </w:r>
      <w:r>
        <w:rPr>
          <w:rFonts w:ascii="宋体" w:hAnsi="宋体" w:cs="宋体"/>
          <w:spacing w:val="-36"/>
          <w:sz w:val="19"/>
          <w:szCs w:val="19"/>
        </w:rPr>
        <w:t xml:space="preserve"> </w:t>
      </w:r>
      <w:r>
        <w:rPr>
          <w:rFonts w:ascii="Calibri" w:hAnsi="Calibri" w:eastAsia="Calibri" w:cs="Calibri"/>
          <w:spacing w:val="-1"/>
          <w:sz w:val="19"/>
          <w:szCs w:val="19"/>
        </w:rPr>
        <w:t>61</w:t>
      </w:r>
      <w:r>
        <w:rPr>
          <w:rFonts w:ascii="Calibri" w:hAnsi="Calibri" w:eastAsia="Calibri" w:cs="Calibri"/>
          <w:spacing w:val="-1"/>
          <w:sz w:val="19"/>
          <w:szCs w:val="19"/>
        </w:rPr>
        <w:fldChar w:fldCharType="end"/>
      </w:r>
    </w:p>
    <w:p w14:paraId="4D7C628F">
      <w:pPr>
        <w:tabs>
          <w:tab w:val="right" w:leader="dot" w:pos="9734"/>
        </w:tabs>
        <w:spacing w:before="113" w:line="193" w:lineRule="auto"/>
        <w:ind w:left="217"/>
        <w:rPr>
          <w:rFonts w:ascii="Calibri" w:hAnsi="Calibri" w:eastAsia="Calibri" w:cs="Calibri"/>
          <w:sz w:val="19"/>
          <w:szCs w:val="19"/>
        </w:rPr>
      </w:pPr>
      <w:r>
        <w:fldChar w:fldCharType="begin"/>
      </w:r>
      <w:r>
        <w:instrText xml:space="preserve"> HYPERLINK \l "bookmark33" </w:instrText>
      </w:r>
      <w:r>
        <w:fldChar w:fldCharType="separate"/>
      </w:r>
      <w:r>
        <w:rPr>
          <w:rFonts w:ascii="宋体" w:hAnsi="宋体" w:cs="宋体"/>
          <w:spacing w:val="9"/>
          <w:sz w:val="19"/>
          <w:szCs w:val="19"/>
        </w:rPr>
        <w:t>十、监狱企业证明文件</w:t>
      </w:r>
      <w:r>
        <w:rPr>
          <w:rFonts w:ascii="宋体" w:hAnsi="宋体" w:cs="宋体"/>
          <w:sz w:val="19"/>
          <w:szCs w:val="19"/>
        </w:rPr>
        <w:tab/>
      </w:r>
      <w:r>
        <w:rPr>
          <w:rFonts w:ascii="宋体" w:hAnsi="宋体" w:cs="宋体"/>
          <w:spacing w:val="-36"/>
          <w:sz w:val="19"/>
          <w:szCs w:val="19"/>
        </w:rPr>
        <w:t xml:space="preserve"> </w:t>
      </w:r>
      <w:r>
        <w:rPr>
          <w:rFonts w:ascii="Calibri" w:hAnsi="Calibri" w:eastAsia="Calibri" w:cs="Calibri"/>
          <w:spacing w:val="-1"/>
          <w:sz w:val="19"/>
          <w:szCs w:val="19"/>
        </w:rPr>
        <w:t>62</w:t>
      </w:r>
      <w:r>
        <w:rPr>
          <w:rFonts w:ascii="Calibri" w:hAnsi="Calibri" w:eastAsia="Calibri" w:cs="Calibri"/>
          <w:spacing w:val="-1"/>
          <w:sz w:val="19"/>
          <w:szCs w:val="19"/>
        </w:rPr>
        <w:fldChar w:fldCharType="end"/>
      </w:r>
    </w:p>
    <w:p w14:paraId="37DDE157">
      <w:pPr>
        <w:tabs>
          <w:tab w:val="right" w:leader="dot" w:pos="9734"/>
        </w:tabs>
        <w:spacing w:before="114" w:line="193" w:lineRule="auto"/>
        <w:ind w:left="217"/>
        <w:rPr>
          <w:rFonts w:ascii="Calibri" w:hAnsi="Calibri" w:eastAsia="Calibri" w:cs="Calibri"/>
          <w:sz w:val="19"/>
          <w:szCs w:val="19"/>
        </w:rPr>
      </w:pPr>
      <w:r>
        <w:fldChar w:fldCharType="begin"/>
      </w:r>
      <w:r>
        <w:instrText xml:space="preserve"> HYPERLINK \l "bookmark34" </w:instrText>
      </w:r>
      <w:r>
        <w:fldChar w:fldCharType="separate"/>
      </w:r>
      <w:r>
        <w:rPr>
          <w:rFonts w:ascii="宋体" w:hAnsi="宋体" w:cs="宋体"/>
          <w:spacing w:val="9"/>
          <w:sz w:val="19"/>
          <w:szCs w:val="19"/>
        </w:rPr>
        <w:t>十一、商务评分项验证资料</w:t>
      </w:r>
      <w:r>
        <w:rPr>
          <w:rFonts w:ascii="宋体" w:hAnsi="宋体" w:cs="宋体"/>
          <w:sz w:val="19"/>
          <w:szCs w:val="19"/>
        </w:rPr>
        <w:tab/>
      </w:r>
      <w:r>
        <w:rPr>
          <w:rFonts w:ascii="宋体" w:hAnsi="宋体" w:cs="宋体"/>
          <w:spacing w:val="-37"/>
          <w:sz w:val="19"/>
          <w:szCs w:val="19"/>
        </w:rPr>
        <w:t xml:space="preserve"> </w:t>
      </w:r>
      <w:r>
        <w:rPr>
          <w:rFonts w:ascii="Calibri" w:hAnsi="Calibri" w:eastAsia="Calibri" w:cs="Calibri"/>
          <w:spacing w:val="-1"/>
          <w:sz w:val="19"/>
          <w:szCs w:val="19"/>
        </w:rPr>
        <w:t>63</w:t>
      </w:r>
      <w:r>
        <w:rPr>
          <w:rFonts w:ascii="Calibri" w:hAnsi="Calibri" w:eastAsia="Calibri" w:cs="Calibri"/>
          <w:spacing w:val="-1"/>
          <w:sz w:val="19"/>
          <w:szCs w:val="19"/>
        </w:rPr>
        <w:fldChar w:fldCharType="end"/>
      </w:r>
    </w:p>
    <w:p w14:paraId="561A94D4">
      <w:pPr>
        <w:tabs>
          <w:tab w:val="right" w:leader="dot" w:pos="9734"/>
        </w:tabs>
        <w:spacing w:before="113" w:line="193" w:lineRule="auto"/>
        <w:ind w:left="217"/>
        <w:rPr>
          <w:rFonts w:ascii="Calibri" w:hAnsi="Calibri" w:eastAsia="Calibri" w:cs="Calibri"/>
          <w:sz w:val="19"/>
          <w:szCs w:val="19"/>
        </w:rPr>
      </w:pPr>
      <w:r>
        <w:fldChar w:fldCharType="begin"/>
      </w:r>
      <w:r>
        <w:instrText xml:space="preserve"> HYPERLINK \l "bookmark35" </w:instrText>
      </w:r>
      <w:r>
        <w:fldChar w:fldCharType="separate"/>
      </w:r>
      <w:r>
        <w:rPr>
          <w:rFonts w:ascii="宋体" w:hAnsi="宋体" w:cs="宋体"/>
          <w:spacing w:val="9"/>
          <w:sz w:val="19"/>
          <w:szCs w:val="19"/>
        </w:rPr>
        <w:t>十二、技术评分项验证资料</w:t>
      </w:r>
      <w:r>
        <w:rPr>
          <w:rFonts w:ascii="宋体" w:hAnsi="宋体" w:cs="宋体"/>
          <w:sz w:val="19"/>
          <w:szCs w:val="19"/>
        </w:rPr>
        <w:tab/>
      </w:r>
      <w:r>
        <w:rPr>
          <w:rFonts w:ascii="宋体" w:hAnsi="宋体" w:cs="宋体"/>
          <w:spacing w:val="-37"/>
          <w:sz w:val="19"/>
          <w:szCs w:val="19"/>
        </w:rPr>
        <w:t xml:space="preserve"> </w:t>
      </w:r>
      <w:r>
        <w:rPr>
          <w:rFonts w:ascii="Calibri" w:hAnsi="Calibri" w:eastAsia="Calibri" w:cs="Calibri"/>
          <w:spacing w:val="-1"/>
          <w:sz w:val="19"/>
          <w:szCs w:val="19"/>
        </w:rPr>
        <w:t>64</w:t>
      </w:r>
      <w:r>
        <w:rPr>
          <w:rFonts w:ascii="Calibri" w:hAnsi="Calibri" w:eastAsia="Calibri" w:cs="Calibri"/>
          <w:spacing w:val="-1"/>
          <w:sz w:val="19"/>
          <w:szCs w:val="19"/>
        </w:rPr>
        <w:fldChar w:fldCharType="end"/>
      </w:r>
    </w:p>
    <w:p w14:paraId="54CC7B21">
      <w:pPr>
        <w:tabs>
          <w:tab w:val="right" w:leader="dot" w:pos="9734"/>
        </w:tabs>
        <w:spacing w:before="198" w:line="193" w:lineRule="auto"/>
        <w:ind w:left="219"/>
      </w:pPr>
      <w:r>
        <w:fldChar w:fldCharType="begin"/>
      </w:r>
      <w:r>
        <w:instrText xml:space="preserve"> HYPERLINK \l "bookmark36" </w:instrText>
      </w:r>
      <w:r>
        <w:fldChar w:fldCharType="separate"/>
      </w:r>
      <w:r>
        <w:t>十三、综合评分项验证资料</w:t>
      </w:r>
      <w:r>
        <w:tab/>
      </w:r>
      <w:r>
        <w:t xml:space="preserve"> 65</w:t>
      </w:r>
      <w:r>
        <w:fldChar w:fldCharType="end"/>
      </w:r>
    </w:p>
    <w:p w14:paraId="439C9354">
      <w:pPr>
        <w:tabs>
          <w:tab w:val="right" w:leader="dot" w:pos="9734"/>
        </w:tabs>
        <w:spacing w:before="198" w:line="193" w:lineRule="auto"/>
        <w:ind w:left="219"/>
        <w:jc w:val="center"/>
        <w:rPr>
          <w:rFonts w:cs="宋体"/>
          <w:sz w:val="40"/>
          <w:szCs w:val="40"/>
        </w:rPr>
      </w:pPr>
      <w:r>
        <w:fldChar w:fldCharType="begin"/>
      </w:r>
      <w:r>
        <w:instrText xml:space="preserve"> HYPERLINK \l "bookmark37" </w:instrText>
      </w:r>
      <w:r>
        <w:fldChar w:fldCharType="separate"/>
      </w:r>
      <w:r>
        <w:t>十四、竞争性磋商文件中规定的其他资料</w:t>
      </w:r>
      <w:r>
        <w:tab/>
      </w:r>
      <w:r>
        <w:t xml:space="preserve"> 66</w:t>
      </w:r>
      <w:r>
        <w:fldChar w:fldCharType="end"/>
      </w:r>
      <w:r>
        <w:rPr>
          <w:rFonts w:ascii="宋体" w:hAnsi="宋体" w:cs="宋体"/>
          <w:caps/>
          <w:sz w:val="20"/>
          <w:szCs w:val="20"/>
        </w:rPr>
        <w:fldChar w:fldCharType="end"/>
      </w:r>
      <w:r>
        <w:rPr>
          <w:rFonts w:cs="宋体"/>
        </w:rPr>
        <w:br w:type="page"/>
      </w:r>
      <w:bookmarkStart w:id="4" w:name="_Toc152656707"/>
      <w:r>
        <w:rPr>
          <w:rFonts w:hint="eastAsia" w:cs="宋体"/>
          <w:sz w:val="40"/>
          <w:szCs w:val="40"/>
        </w:rPr>
        <w:t>第一章</w:t>
      </w:r>
      <w:bookmarkStart w:id="5" w:name="_Toc152045527"/>
      <w:bookmarkEnd w:id="5"/>
      <w:bookmarkStart w:id="6" w:name="_Toc144974495"/>
      <w:bookmarkEnd w:id="6"/>
      <w:bookmarkStart w:id="7" w:name="_Toc152042303"/>
      <w:bookmarkEnd w:id="7"/>
      <w:r>
        <w:rPr>
          <w:rFonts w:hint="eastAsia" w:cs="宋体"/>
          <w:sz w:val="40"/>
          <w:szCs w:val="40"/>
        </w:rPr>
        <w:t xml:space="preserve"> 竞争性磋商公告</w:t>
      </w:r>
      <w:bookmarkEnd w:id="2"/>
      <w:bookmarkEnd w:id="3"/>
      <w:bookmarkEnd w:id="4"/>
    </w:p>
    <w:p w14:paraId="68CCDE65">
      <w:pPr>
        <w:spacing w:line="400" w:lineRule="exact"/>
        <w:jc w:val="center"/>
        <w:rPr>
          <w:rFonts w:hint="eastAsia" w:ascii="宋体" w:hAnsi="宋体" w:cs="宋体"/>
          <w:b/>
          <w:bCs/>
          <w:sz w:val="32"/>
          <w:szCs w:val="32"/>
        </w:rPr>
      </w:pPr>
      <w:bookmarkStart w:id="8" w:name="_Toc3930"/>
      <w:bookmarkEnd w:id="8"/>
      <w:bookmarkStart w:id="9" w:name="_Hlk517959147"/>
      <w:bookmarkStart w:id="10" w:name="_Toc2607_WPSOffice_Level1"/>
      <w:bookmarkStart w:id="451" w:name="_GoBack"/>
      <w:r>
        <w:rPr>
          <w:rFonts w:hint="eastAsia" w:ascii="宋体" w:hAnsi="宋体" w:cs="宋体"/>
          <w:b/>
          <w:bCs/>
          <w:sz w:val="32"/>
          <w:szCs w:val="32"/>
        </w:rPr>
        <w:t>新郑市新建路社区卫生服务中心建设医养结合健康管理中心项目</w:t>
      </w:r>
    </w:p>
    <w:p w14:paraId="167CC394">
      <w:pPr>
        <w:spacing w:line="400" w:lineRule="exact"/>
        <w:jc w:val="center"/>
        <w:rPr>
          <w:rFonts w:hint="eastAsia" w:ascii="宋体" w:hAnsi="宋体" w:cs="宋体"/>
          <w:b/>
          <w:bCs/>
          <w:sz w:val="32"/>
          <w:szCs w:val="32"/>
        </w:rPr>
      </w:pPr>
      <w:r>
        <w:rPr>
          <w:rFonts w:hint="eastAsia" w:ascii="宋体" w:hAnsi="宋体" w:cs="宋体"/>
          <w:b/>
          <w:bCs/>
          <w:sz w:val="32"/>
          <w:szCs w:val="32"/>
        </w:rPr>
        <w:t>竞争性磋商公告</w:t>
      </w:r>
    </w:p>
    <w:bookmarkEnd w:id="9"/>
    <w:p w14:paraId="4B67B40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项目概况</w:t>
      </w:r>
    </w:p>
    <w:p w14:paraId="6472FB70">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sz w:val="24"/>
          <w:szCs w:val="24"/>
        </w:rPr>
        <w:t>新郑市新建路社区卫生服务中心建设医养结合健康管理中心项目招标项目的潜在投标人应在新郑市公共资源电子交易平台内下载获取招标文件，</w:t>
      </w:r>
      <w:r>
        <w:rPr>
          <w:rFonts w:hint="eastAsia" w:cs="宋体" w:asciiTheme="minorEastAsia" w:hAnsiTheme="minorEastAsia" w:eastAsiaTheme="minorEastAsia"/>
          <w:color w:val="FF0000"/>
          <w:sz w:val="24"/>
          <w:szCs w:val="24"/>
        </w:rPr>
        <w:t>并于2025年   月   日09时30分（北京时间）前递交响应文件。</w:t>
      </w:r>
    </w:p>
    <w:p w14:paraId="2A24D1A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一、项目基本情况</w:t>
      </w:r>
    </w:p>
    <w:p w14:paraId="618CB974">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1、项目编号：</w:t>
      </w:r>
      <w:r>
        <w:rPr>
          <w:rFonts w:hint="eastAsia" w:ascii="宋体" w:hAnsi="宋体" w:cs="宋体"/>
          <w:b/>
          <w:bCs/>
          <w:sz w:val="22"/>
          <w:szCs w:val="22"/>
          <w:lang w:val="en-US" w:eastAsia="zh-CN"/>
        </w:rPr>
        <w:t>新财磋商采购-2025-67</w:t>
      </w:r>
      <w:r>
        <w:rPr>
          <w:rFonts w:hint="eastAsia" w:ascii="宋体" w:hAnsi="宋体" w:cs="宋体"/>
          <w:b/>
          <w:bCs/>
          <w:sz w:val="22"/>
          <w:szCs w:val="22"/>
        </w:rPr>
        <w:t xml:space="preserve"> </w:t>
      </w:r>
    </w:p>
    <w:p w14:paraId="6EB38EA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2、项目名称：新郑市新建路社区卫生服务中心建设医养结合健康管理中心项目</w:t>
      </w:r>
    </w:p>
    <w:p w14:paraId="79746BA4">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3、采购方式：竞争性磋商</w:t>
      </w:r>
    </w:p>
    <w:p w14:paraId="02525DC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4、预算金额：</w:t>
      </w:r>
      <w:r>
        <w:rPr>
          <w:rFonts w:hint="eastAsia" w:cs="宋体" w:asciiTheme="minorEastAsia" w:hAnsiTheme="minorEastAsia" w:eastAsiaTheme="minorEastAsia"/>
          <w:sz w:val="24"/>
          <w:szCs w:val="24"/>
          <w:lang w:eastAsia="zh-CN"/>
        </w:rPr>
        <w:t>845500.00</w:t>
      </w:r>
      <w:r>
        <w:rPr>
          <w:rFonts w:hint="eastAsia" w:cs="宋体" w:asciiTheme="minorEastAsia" w:hAnsiTheme="minorEastAsia" w:eastAsiaTheme="minorEastAsia"/>
          <w:sz w:val="24"/>
          <w:szCs w:val="24"/>
        </w:rPr>
        <w:t>元</w:t>
      </w:r>
    </w:p>
    <w:p w14:paraId="2CE5589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最高限价：</w:t>
      </w:r>
      <w:r>
        <w:rPr>
          <w:rFonts w:hint="eastAsia" w:cs="宋体" w:asciiTheme="minorEastAsia" w:hAnsiTheme="minorEastAsia" w:eastAsiaTheme="minorEastAsia"/>
          <w:sz w:val="24"/>
          <w:szCs w:val="24"/>
          <w:lang w:eastAsia="zh-CN"/>
        </w:rPr>
        <w:t>845500.00</w:t>
      </w:r>
      <w:r>
        <w:rPr>
          <w:rFonts w:hint="eastAsia" w:cs="宋体" w:asciiTheme="minorEastAsia" w:hAnsiTheme="minorEastAsia" w:eastAsiaTheme="minorEastAsia"/>
          <w:sz w:val="24"/>
          <w:szCs w:val="24"/>
        </w:rPr>
        <w:t>元</w:t>
      </w:r>
    </w:p>
    <w:tbl>
      <w:tblPr>
        <w:tblStyle w:val="28"/>
        <w:tblW w:w="989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95"/>
        <w:gridCol w:w="1568"/>
        <w:gridCol w:w="4416"/>
        <w:gridCol w:w="1409"/>
        <w:gridCol w:w="1808"/>
      </w:tblGrid>
      <w:tr w14:paraId="3CF6F3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6" w:hRule="atLeast"/>
          <w:tblCellSpacing w:w="0" w:type="dxa"/>
        </w:trPr>
        <w:tc>
          <w:tcPr>
            <w:tcW w:w="695" w:type="dxa"/>
            <w:tcBorders>
              <w:top w:val="outset" w:color="auto" w:sz="6" w:space="0"/>
              <w:left w:val="outset" w:color="auto" w:sz="6" w:space="0"/>
              <w:bottom w:val="outset" w:color="auto" w:sz="6" w:space="0"/>
              <w:right w:val="outset" w:color="auto" w:sz="6" w:space="0"/>
            </w:tcBorders>
            <w:vAlign w:val="center"/>
          </w:tcPr>
          <w:p w14:paraId="75856264">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1568" w:type="dxa"/>
            <w:tcBorders>
              <w:top w:val="outset" w:color="auto" w:sz="6" w:space="0"/>
              <w:left w:val="outset" w:color="auto" w:sz="6" w:space="0"/>
              <w:bottom w:val="outset" w:color="auto" w:sz="6" w:space="0"/>
              <w:right w:val="outset" w:color="auto" w:sz="6" w:space="0"/>
            </w:tcBorders>
            <w:vAlign w:val="center"/>
          </w:tcPr>
          <w:p w14:paraId="191C81A1">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包号</w:t>
            </w:r>
          </w:p>
        </w:tc>
        <w:tc>
          <w:tcPr>
            <w:tcW w:w="4416" w:type="dxa"/>
            <w:tcBorders>
              <w:top w:val="outset" w:color="auto" w:sz="6" w:space="0"/>
              <w:left w:val="outset" w:color="auto" w:sz="6" w:space="0"/>
              <w:bottom w:val="outset" w:color="auto" w:sz="6" w:space="0"/>
              <w:right w:val="outset" w:color="auto" w:sz="6" w:space="0"/>
            </w:tcBorders>
            <w:vAlign w:val="center"/>
          </w:tcPr>
          <w:p w14:paraId="75A5B528">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包名称</w:t>
            </w:r>
          </w:p>
        </w:tc>
        <w:tc>
          <w:tcPr>
            <w:tcW w:w="0" w:type="auto"/>
            <w:tcBorders>
              <w:top w:val="outset" w:color="auto" w:sz="6" w:space="0"/>
              <w:left w:val="outset" w:color="auto" w:sz="6" w:space="0"/>
              <w:bottom w:val="outset" w:color="auto" w:sz="6" w:space="0"/>
              <w:right w:val="outset" w:color="auto" w:sz="6" w:space="0"/>
            </w:tcBorders>
            <w:vAlign w:val="center"/>
          </w:tcPr>
          <w:p w14:paraId="7123BE28">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包预算（元）</w:t>
            </w:r>
          </w:p>
        </w:tc>
        <w:tc>
          <w:tcPr>
            <w:tcW w:w="0" w:type="auto"/>
            <w:tcBorders>
              <w:top w:val="outset" w:color="auto" w:sz="6" w:space="0"/>
              <w:left w:val="outset" w:color="auto" w:sz="6" w:space="0"/>
              <w:bottom w:val="outset" w:color="auto" w:sz="6" w:space="0"/>
              <w:right w:val="outset" w:color="auto" w:sz="6" w:space="0"/>
            </w:tcBorders>
            <w:vAlign w:val="center"/>
          </w:tcPr>
          <w:p w14:paraId="034303D7">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包最高限价（元）</w:t>
            </w:r>
          </w:p>
        </w:tc>
      </w:tr>
      <w:tr w14:paraId="302080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6" w:hRule="atLeast"/>
          <w:tblCellSpacing w:w="0" w:type="dxa"/>
        </w:trPr>
        <w:tc>
          <w:tcPr>
            <w:tcW w:w="695" w:type="dxa"/>
            <w:tcBorders>
              <w:top w:val="outset" w:color="auto" w:sz="6" w:space="0"/>
              <w:left w:val="outset" w:color="auto" w:sz="6" w:space="0"/>
              <w:bottom w:val="outset" w:color="auto" w:sz="6" w:space="0"/>
              <w:right w:val="outset" w:color="auto" w:sz="6" w:space="0"/>
            </w:tcBorders>
            <w:vAlign w:val="center"/>
          </w:tcPr>
          <w:p w14:paraId="68EBF9AB">
            <w:pPr>
              <w:widowControl/>
              <w:spacing w:line="360" w:lineRule="exact"/>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568" w:type="dxa"/>
            <w:tcBorders>
              <w:top w:val="outset" w:color="auto" w:sz="6" w:space="0"/>
              <w:left w:val="outset" w:color="auto" w:sz="6" w:space="0"/>
              <w:bottom w:val="outset" w:color="auto" w:sz="6" w:space="0"/>
              <w:right w:val="outset" w:color="auto" w:sz="6" w:space="0"/>
            </w:tcBorders>
            <w:vAlign w:val="center"/>
          </w:tcPr>
          <w:p w14:paraId="3FD5F1BC">
            <w:pPr>
              <w:widowControl/>
              <w:spacing w:line="360" w:lineRule="exact"/>
              <w:jc w:val="center"/>
              <w:rPr>
                <w:rFonts w:hint="eastAsia" w:cs="宋体" w:asciiTheme="minorEastAsia" w:hAnsiTheme="minorEastAsia" w:eastAsiaTheme="minorEastAsia"/>
                <w:color w:val="FF0000"/>
                <w:kern w:val="0"/>
                <w:sz w:val="24"/>
                <w:szCs w:val="24"/>
              </w:rPr>
            </w:pPr>
          </w:p>
        </w:tc>
        <w:tc>
          <w:tcPr>
            <w:tcW w:w="4416" w:type="dxa"/>
            <w:tcBorders>
              <w:top w:val="outset" w:color="auto" w:sz="6" w:space="0"/>
              <w:left w:val="outset" w:color="auto" w:sz="6" w:space="0"/>
              <w:bottom w:val="outset" w:color="auto" w:sz="6" w:space="0"/>
              <w:right w:val="outset" w:color="auto" w:sz="6" w:space="0"/>
            </w:tcBorders>
            <w:vAlign w:val="center"/>
          </w:tcPr>
          <w:p w14:paraId="0DA78042">
            <w:pPr>
              <w:widowControl/>
              <w:spacing w:line="360" w:lineRule="exact"/>
              <w:jc w:val="center"/>
              <w:rPr>
                <w:rFonts w:hint="eastAsia" w:cs="宋体" w:asciiTheme="minorEastAsia" w:hAnsiTheme="minorEastAsia" w:eastAsiaTheme="minorEastAsia"/>
                <w:color w:val="FF0000"/>
                <w:kern w:val="0"/>
                <w:sz w:val="24"/>
                <w:szCs w:val="24"/>
              </w:rPr>
            </w:pPr>
            <w:r>
              <w:rPr>
                <w:rFonts w:hint="eastAsia" w:cs="宋体" w:asciiTheme="minorEastAsia" w:hAnsiTheme="minorEastAsia" w:eastAsiaTheme="minorEastAsia"/>
                <w:color w:val="FF0000"/>
                <w:sz w:val="24"/>
                <w:szCs w:val="24"/>
              </w:rPr>
              <w:t>新郑市新建路社区卫生服务中心建设医养结合健康管理中心项目</w:t>
            </w:r>
          </w:p>
        </w:tc>
        <w:tc>
          <w:tcPr>
            <w:tcW w:w="0" w:type="auto"/>
            <w:tcBorders>
              <w:top w:val="outset" w:color="auto" w:sz="6" w:space="0"/>
              <w:left w:val="outset" w:color="auto" w:sz="6" w:space="0"/>
              <w:bottom w:val="outset" w:color="auto" w:sz="6" w:space="0"/>
              <w:right w:val="outset" w:color="auto" w:sz="6" w:space="0"/>
            </w:tcBorders>
            <w:vAlign w:val="center"/>
          </w:tcPr>
          <w:p w14:paraId="6DF017F9">
            <w:pPr>
              <w:widowControl/>
              <w:spacing w:line="360" w:lineRule="exact"/>
              <w:jc w:val="center"/>
              <w:rPr>
                <w:rFonts w:hint="eastAsia" w:cs="宋体" w:asciiTheme="minorEastAsia" w:hAnsiTheme="minorEastAsia" w:eastAsiaTheme="minorEastAsia"/>
                <w:color w:val="FF0000"/>
                <w:kern w:val="0"/>
                <w:sz w:val="24"/>
                <w:szCs w:val="24"/>
                <w:lang w:eastAsia="zh-CN"/>
              </w:rPr>
            </w:pPr>
            <w:r>
              <w:rPr>
                <w:rFonts w:hint="eastAsia" w:cs="宋体" w:asciiTheme="minorEastAsia" w:hAnsiTheme="minorEastAsia" w:eastAsiaTheme="minorEastAsia"/>
                <w:color w:val="FF0000"/>
                <w:sz w:val="24"/>
                <w:szCs w:val="24"/>
                <w:lang w:eastAsia="zh-CN"/>
              </w:rPr>
              <w:t>845500.00</w:t>
            </w:r>
          </w:p>
        </w:tc>
        <w:tc>
          <w:tcPr>
            <w:tcW w:w="0" w:type="auto"/>
            <w:tcBorders>
              <w:top w:val="outset" w:color="auto" w:sz="6" w:space="0"/>
              <w:left w:val="outset" w:color="auto" w:sz="6" w:space="0"/>
              <w:bottom w:val="outset" w:color="auto" w:sz="6" w:space="0"/>
              <w:right w:val="outset" w:color="auto" w:sz="6" w:space="0"/>
            </w:tcBorders>
            <w:vAlign w:val="center"/>
          </w:tcPr>
          <w:p w14:paraId="2ED4ADE9">
            <w:pPr>
              <w:widowControl/>
              <w:spacing w:line="360" w:lineRule="exact"/>
              <w:jc w:val="center"/>
              <w:rPr>
                <w:rFonts w:hint="eastAsia" w:cs="宋体" w:asciiTheme="minorEastAsia" w:hAnsiTheme="minorEastAsia" w:eastAsiaTheme="minorEastAsia"/>
                <w:color w:val="FF0000"/>
                <w:kern w:val="0"/>
                <w:sz w:val="24"/>
                <w:szCs w:val="24"/>
                <w:lang w:eastAsia="zh-CN"/>
              </w:rPr>
            </w:pPr>
            <w:r>
              <w:rPr>
                <w:rFonts w:hint="eastAsia" w:cs="宋体" w:asciiTheme="minorEastAsia" w:hAnsiTheme="minorEastAsia" w:eastAsiaTheme="minorEastAsia"/>
                <w:color w:val="FF0000"/>
                <w:sz w:val="24"/>
                <w:szCs w:val="24"/>
                <w:lang w:eastAsia="zh-CN"/>
              </w:rPr>
              <w:t>845500.00</w:t>
            </w:r>
          </w:p>
        </w:tc>
      </w:tr>
    </w:tbl>
    <w:p w14:paraId="69E56227">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5、采购需求（包括但不限于标的的名称、数量、简要技术需求或服务要求等）</w:t>
      </w:r>
    </w:p>
    <w:p w14:paraId="1FF36DE0">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5.1采购范围：竞争性磋商文件所含全部内容</w:t>
      </w:r>
    </w:p>
    <w:p w14:paraId="58CAFFF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5.2项目地点：</w:t>
      </w:r>
      <w:r>
        <w:rPr>
          <w:rFonts w:hint="eastAsia" w:ascii="宋体" w:hAnsi="宋体"/>
          <w:sz w:val="24"/>
          <w:szCs w:val="24"/>
        </w:rPr>
        <w:t>新郑市新建路社区卫生服务中心</w:t>
      </w:r>
    </w:p>
    <w:p w14:paraId="7EC9AB0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5.3资金来源：2024年河南省福利彩票公益金支持的医养结合项目资金</w:t>
      </w:r>
    </w:p>
    <w:p w14:paraId="19B2E34B">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5.4标段划分：本项目共一个标段</w:t>
      </w:r>
    </w:p>
    <w:p w14:paraId="7EC66D1D">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5.5供货期：</w:t>
      </w:r>
      <w:r>
        <w:rPr>
          <w:rFonts w:hint="eastAsia" w:cs="宋体" w:asciiTheme="minorEastAsia" w:hAnsiTheme="minorEastAsia" w:eastAsiaTheme="minorEastAsia"/>
          <w:color w:val="FF0000"/>
          <w:sz w:val="24"/>
          <w:szCs w:val="24"/>
          <w:lang w:val="en-US" w:eastAsia="zh-CN"/>
        </w:rPr>
        <w:t>30</w:t>
      </w:r>
      <w:r>
        <w:rPr>
          <w:rFonts w:hint="eastAsia" w:cs="宋体" w:asciiTheme="minorEastAsia" w:hAnsiTheme="minorEastAsia" w:eastAsiaTheme="minorEastAsia"/>
          <w:color w:val="FF0000"/>
          <w:sz w:val="24"/>
          <w:szCs w:val="24"/>
        </w:rPr>
        <w:t>日历天</w:t>
      </w:r>
    </w:p>
    <w:p w14:paraId="1D54EC92">
      <w:pPr>
        <w:spacing w:line="400" w:lineRule="exact"/>
        <w:ind w:firstLine="480" w:firstLineChars="200"/>
        <w:rPr>
          <w:rFonts w:hint="eastAsia" w:cs="宋体" w:asciiTheme="minorEastAsia" w:hAnsiTheme="minorEastAsia"/>
          <w:color w:val="FF0000"/>
          <w:sz w:val="24"/>
          <w:szCs w:val="24"/>
        </w:rPr>
      </w:pPr>
      <w:r>
        <w:rPr>
          <w:rFonts w:hint="eastAsia" w:cs="宋体" w:asciiTheme="minorEastAsia" w:hAnsiTheme="minorEastAsia" w:eastAsiaTheme="minorEastAsia"/>
          <w:color w:val="FF0000"/>
          <w:sz w:val="24"/>
          <w:szCs w:val="24"/>
        </w:rPr>
        <w:t>5.6</w:t>
      </w:r>
      <w:r>
        <w:rPr>
          <w:rFonts w:ascii="宋体" w:hAnsi="宋体" w:cs="宋体"/>
          <w:color w:val="FF0000"/>
          <w:spacing w:val="-3"/>
          <w:sz w:val="24"/>
          <w:szCs w:val="24"/>
        </w:rPr>
        <w:t>保修期</w:t>
      </w:r>
      <w:r>
        <w:rPr>
          <w:rFonts w:hint="eastAsia" w:ascii="宋体" w:hAnsi="宋体" w:cs="宋体"/>
          <w:color w:val="FF0000"/>
          <w:spacing w:val="-3"/>
          <w:sz w:val="24"/>
          <w:szCs w:val="24"/>
        </w:rPr>
        <w:t>：1年</w:t>
      </w:r>
    </w:p>
    <w:p w14:paraId="5E045A67">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5.7质量要求：合格，满足采购人要求</w:t>
      </w:r>
    </w:p>
    <w:p w14:paraId="680D188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5.8评标方式：全流程电子化评标方式</w:t>
      </w:r>
    </w:p>
    <w:p w14:paraId="5973D215">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5.9项目属性：服务</w:t>
      </w:r>
    </w:p>
    <w:p w14:paraId="4B4F48F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6、合同履行期限：同供货期</w:t>
      </w:r>
    </w:p>
    <w:p w14:paraId="3BAE332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7、本项目是否接受联合体投标：否</w:t>
      </w:r>
    </w:p>
    <w:p w14:paraId="24EDEED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8、是否接受进口产品：否</w:t>
      </w:r>
    </w:p>
    <w:p w14:paraId="56F1398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9、是否专门面向中小企业：否</w:t>
      </w:r>
    </w:p>
    <w:p w14:paraId="7F38AE14">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二、申请人资格要求：</w:t>
      </w:r>
    </w:p>
    <w:p w14:paraId="3C7B44C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1、满足《中华人民共和国政府采购法》第二十二条规定；</w:t>
      </w:r>
    </w:p>
    <w:p w14:paraId="600973F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2、落实政府采购政策满足的资格要求：</w:t>
      </w:r>
    </w:p>
    <w:p w14:paraId="65B261A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政府采购应当有助于实现国家的经济和社会发展政策目标，包括优先采购节能环保、环境标志性产品、优先采购自主创新产品，扶持不发达地区和少数民族地区，促进中小企业发展等。政府采购应当采购本国货物、工程和服务。但有下列情形之一的除外：</w:t>
      </w:r>
    </w:p>
    <w:p w14:paraId="07595A34">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（一）需要采购的货物、工程或者服务在中国境内无法获取或者无法以合理的商业条件获取的；</w:t>
      </w:r>
    </w:p>
    <w:p w14:paraId="09E62D2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（二）为在中国境外使用而进行采购的；</w:t>
      </w:r>
    </w:p>
    <w:p w14:paraId="5E5EBD6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（三）其他法律、行政法规另有规定的。</w:t>
      </w:r>
    </w:p>
    <w:p w14:paraId="7394236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上述本国货物、工程和服务的界定，依照国务院有关规定执行。</w:t>
      </w:r>
    </w:p>
    <w:p w14:paraId="151E24B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3、本项目的特定资格要求</w:t>
      </w:r>
    </w:p>
    <w:p w14:paraId="407370A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3.1供应商须具备《中华人民共和国政府采购法》第二十二条及《中华人民共和国政府采购法实施条例》第十七条规定条件并提供相关材料。</w:t>
      </w:r>
    </w:p>
    <w:p w14:paraId="27B566E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《中华人民共和国政府采购法实施条例》第十七条规定：参加政府采购活动的供应商应当具备政府采购法第二十二条第一款规定的条件，提供下列材料：</w:t>
      </w:r>
    </w:p>
    <w:p w14:paraId="753A44A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（一）法人或者其他组织的营业执照等证明文件，自然人的身份证明；</w:t>
      </w:r>
    </w:p>
    <w:p w14:paraId="57696BA0">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（二）财务状况报告，依法缴纳税收和社会保障资金的相关材料；</w:t>
      </w:r>
    </w:p>
    <w:p w14:paraId="0252BDC2">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（三）具备履行合同所必需的设备和专业技术能力的证明材料；</w:t>
      </w:r>
    </w:p>
    <w:p w14:paraId="3B466CC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（四）参加政府采购活动前 3 年内在经营活动中没有重大违法记录的书面声明；</w:t>
      </w:r>
    </w:p>
    <w:p w14:paraId="17C7FC11">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（五）具备法律、行政法规规定的其他条件的证明材料。</w:t>
      </w:r>
    </w:p>
    <w:p w14:paraId="6E1DE6A0">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采购项目有特殊要求的，供应商还应当提供其符合特殊要求的证明材料或者情况说明。</w:t>
      </w:r>
    </w:p>
    <w:p w14:paraId="0C2568C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3.2为了发挥政府采购的政策功能，促进中小企业的发展，根据《中华人民共和国政府采购法》、《中华人民共和国中小企业促进法》和《政府采购促进中小企业发展管理办法》执行。</w:t>
      </w:r>
    </w:p>
    <w:p w14:paraId="1231A6C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3.3 根据《政府采购质疑和投诉办法》第三十七条规定，被财政部门列入不良行为记录名 单的供应商，禁止其1至3年内参加政府采购活动。</w:t>
      </w:r>
    </w:p>
    <w:p w14:paraId="15D8369A">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《政府采购质疑和投诉办法》第三十七条规定：</w:t>
      </w:r>
    </w:p>
    <w:p w14:paraId="22B373A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投诉人在全国范围 12 个月内三次以上投诉查无实据的，由财政部门列入不良行为记录名 单。</w:t>
      </w:r>
    </w:p>
    <w:p w14:paraId="5968D95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投诉人有下列行为之一的，属于虚假、恶意投诉，由财政部门列入不良行为记录名单，禁止其 1 至 3 年内参加政府采购活动：</w:t>
      </w:r>
    </w:p>
    <w:p w14:paraId="266681E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（一）捏造事实；</w:t>
      </w:r>
    </w:p>
    <w:p w14:paraId="45921D3C">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（二）提供虚假材料；</w:t>
      </w:r>
    </w:p>
    <w:p w14:paraId="117867FB">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（三）以非法手段取得证明材料。证据来源的合法性存在明显疑问，投诉人无法证明其取得方式合法的，视为以非法手段取得证明材料。</w:t>
      </w:r>
    </w:p>
    <w:p w14:paraId="5339D23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3.4 信用记录：根据《财政部关于在政府采购活动中查询及使用信用记录有关问题的通知》（财库〔2016〕125 号）和《河南省财政厅关于转发财政部关于在政府采购活动中查询及使用信用记录有关问题的通知》（财库〔2016〕15 号）被列入中国政府采购网（www.ccgp.gov.cn）“政府采购严重违法失信行为记录名单”的（指政府采购行政处罚有效期内）；被列入“中国执行信息公开网”（http://zxgk.court.gov.cn/shixin）失信被执行人的；被列入“信用中国”网站（www.creditchina.gov.cn）重大税收违法失信主体名单的供应商将被拒绝；在本项目时间段内的查询结果截图附在响应文件中；现场查询结果与响应文件所附查询结果不一致时，以现场查询结果为准。</w:t>
      </w:r>
    </w:p>
    <w:p w14:paraId="6C424D23">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3.5供应商与采购人、采购代理机构及其附属机构没有行政或经济关联。</w:t>
      </w:r>
    </w:p>
    <w:p w14:paraId="46962AA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3.6 不允许转包、违法分包，不允许挂靠其他公司参与投标。</w:t>
      </w:r>
    </w:p>
    <w:p w14:paraId="09EF3B1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3.7 本项目采用资格后审方法，具体资格审查资料详见竞争性磋商文件。</w:t>
      </w:r>
    </w:p>
    <w:p w14:paraId="39BA7C7B">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三、获取采购文件</w:t>
      </w:r>
    </w:p>
    <w:p w14:paraId="42464B15">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1.时间：2025年   月   日 至 2025年  月   日，每天上午00:00至12:00，下午12:00至17:00（北京时间，法定节假日除外。）</w:t>
      </w:r>
    </w:p>
    <w:p w14:paraId="1DBB3AA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2.地点：新郑市公共资源电子交易平台内下载</w:t>
      </w:r>
    </w:p>
    <w:p w14:paraId="32C5B9D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3.方式：（1）投标企业须完善更新新郑市公共资源交易中心企业信息并取得数字证书（详见新郑市公共资源交易中心网站-通知公告-《关于数字证书(CA)互认功能上线试运行的通知》）。</w:t>
      </w:r>
    </w:p>
    <w:p w14:paraId="667818AB">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（2）登陆新郑市公共资源电子交易平台下载。</w:t>
      </w:r>
    </w:p>
    <w:p w14:paraId="2857399B">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（3）获取竞争性磋商文件后，登录新郑市公共资源交易中心网站-下载专区--《投标人操作手册》下载最新版本的投标文件制作工具安装包，并使用安装后的最新版本投标文件制作工具制作电子响应文件。</w:t>
      </w:r>
    </w:p>
    <w:p w14:paraId="3549AED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4.售价：0元</w:t>
      </w:r>
    </w:p>
    <w:p w14:paraId="66C595D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四、响应文件提交</w:t>
      </w:r>
    </w:p>
    <w:p w14:paraId="45135A16">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1.时间：2025年   月   日09时30分（北京时间）</w:t>
      </w:r>
    </w:p>
    <w:p w14:paraId="1273E22D">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2.地点：在新郑市公共资源电子交易平台中加密上传电子响应文件</w:t>
      </w:r>
    </w:p>
    <w:p w14:paraId="02B8863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五、响应文件开启</w:t>
      </w:r>
    </w:p>
    <w:p w14:paraId="7C01590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1.时间：2025年   月   日09时30分（北京时间）</w:t>
      </w:r>
    </w:p>
    <w:p w14:paraId="5AC116BE">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2.地点：新郑市不见面开标大厅。通过PC登录新郑市公共资源交易中心网站，进入不见面开标大厅(详见新郑市公共资源交易中心网站--办事指南--服务指南《新郑市公共资源交易中心不见面开标大厅操作说明》)</w:t>
      </w:r>
    </w:p>
    <w:p w14:paraId="3C92669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六、发布公告的媒介及招标公告期限</w:t>
      </w:r>
    </w:p>
    <w:p w14:paraId="57769A74">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本次招标公告在《河南省政府采购网》、《郑州市政府采购网》、《新郑市政府采购网》、《新郑市公共资源交易中心》上发布， 招标公告期限为三个工作日 。</w:t>
      </w:r>
    </w:p>
    <w:p w14:paraId="7C1027AF">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七、其他补充事宜</w:t>
      </w:r>
    </w:p>
    <w:p w14:paraId="12CF52B9">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无</w:t>
      </w:r>
    </w:p>
    <w:p w14:paraId="36A53748">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八、凡对本次招标提出询问，请按照以下方式联系</w:t>
      </w:r>
    </w:p>
    <w:p w14:paraId="7B46A835">
      <w:pPr>
        <w:spacing w:line="40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 采购人信息</w:t>
      </w:r>
    </w:p>
    <w:p w14:paraId="60AFFE66">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名称：新郑市新建路社区卫生服务中心</w:t>
      </w:r>
    </w:p>
    <w:p w14:paraId="5ABF86B7">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地址：新郑市新建路社区</w:t>
      </w:r>
    </w:p>
    <w:p w14:paraId="261B97A9">
      <w:pPr>
        <w:spacing w:line="400" w:lineRule="exact"/>
        <w:ind w:firstLine="960" w:firstLineChars="400"/>
        <w:rPr>
          <w:rFonts w:hint="eastAsia" w:cs="宋体" w:asciiTheme="minorEastAsia" w:hAnsiTheme="minorEastAsia" w:eastAsiaTheme="minorEastAsia"/>
          <w:color w:val="FF0000"/>
          <w:sz w:val="24"/>
          <w:szCs w:val="24"/>
          <w:lang w:val="en-US" w:eastAsia="zh-CN"/>
        </w:rPr>
      </w:pPr>
      <w:r>
        <w:rPr>
          <w:rFonts w:hint="eastAsia" w:cs="宋体" w:asciiTheme="minorEastAsia" w:hAnsiTheme="minorEastAsia" w:eastAsiaTheme="minorEastAsia"/>
          <w:color w:val="FF0000"/>
          <w:sz w:val="24"/>
          <w:szCs w:val="24"/>
        </w:rPr>
        <w:t>联系</w:t>
      </w:r>
      <w:r>
        <w:rPr>
          <w:rFonts w:hint="eastAsia" w:cs="宋体" w:asciiTheme="minorEastAsia" w:hAnsiTheme="minorEastAsia" w:eastAsiaTheme="minorEastAsia"/>
          <w:color w:val="FF0000"/>
          <w:sz w:val="24"/>
          <w:szCs w:val="24"/>
          <w:lang w:val="en-US" w:eastAsia="zh-CN"/>
        </w:rPr>
        <w:t>:陈女士</w:t>
      </w:r>
    </w:p>
    <w:p w14:paraId="4555DCED">
      <w:pPr>
        <w:spacing w:line="400" w:lineRule="exact"/>
        <w:ind w:firstLine="960" w:firstLineChars="4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联系方式：</w:t>
      </w:r>
      <w:r>
        <w:rPr>
          <w:rFonts w:hint="eastAsia" w:cs="宋体" w:asciiTheme="minorEastAsia" w:hAnsiTheme="minorEastAsia" w:eastAsiaTheme="minorEastAsia"/>
          <w:color w:val="FF0000"/>
          <w:sz w:val="24"/>
          <w:szCs w:val="24"/>
          <w:lang w:val="en-US" w:eastAsia="zh-CN"/>
        </w:rPr>
        <w:t>0371-62592906</w:t>
      </w:r>
      <w:r>
        <w:rPr>
          <w:rFonts w:hint="eastAsia" w:cs="宋体" w:asciiTheme="minorEastAsia" w:hAnsiTheme="minorEastAsia" w:eastAsiaTheme="minorEastAsia"/>
          <w:color w:val="FF0000"/>
          <w:sz w:val="24"/>
          <w:szCs w:val="24"/>
        </w:rPr>
        <w:t xml:space="preserve"> </w:t>
      </w:r>
    </w:p>
    <w:p w14:paraId="7740E0C6">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2.采购代理机构信息（如有）</w:t>
      </w:r>
    </w:p>
    <w:p w14:paraId="0EFBF505">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名称：河南联仁工程管理有限公司</w:t>
      </w:r>
    </w:p>
    <w:p w14:paraId="72F37E08">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地址：郑州市建业五栋大楼B座1107</w:t>
      </w:r>
    </w:p>
    <w:p w14:paraId="0236E21C">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联系人：李先生</w:t>
      </w:r>
    </w:p>
    <w:p w14:paraId="0E8D008D">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联系方式：18736337862</w:t>
      </w:r>
    </w:p>
    <w:p w14:paraId="525AD36D">
      <w:pPr>
        <w:spacing w:line="40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3.项目联系方式</w:t>
      </w:r>
    </w:p>
    <w:p w14:paraId="016DE1E8">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项目联系人：李先生</w:t>
      </w:r>
    </w:p>
    <w:p w14:paraId="6F802492">
      <w:pPr>
        <w:spacing w:line="400" w:lineRule="exact"/>
        <w:ind w:firstLine="840" w:firstLineChars="35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联系方式：18736337862</w:t>
      </w:r>
    </w:p>
    <w:bookmarkEnd w:id="451"/>
    <w:p w14:paraId="2207E416">
      <w:pPr>
        <w:spacing w:line="400" w:lineRule="exact"/>
        <w:ind w:firstLine="480" w:firstLineChars="200"/>
        <w:rPr>
          <w:rFonts w:hint="eastAsia" w:cs="宋体" w:asciiTheme="minorEastAsia" w:hAnsiTheme="minorEastAsia" w:eastAsiaTheme="minorEastAsia"/>
          <w:sz w:val="24"/>
          <w:szCs w:val="24"/>
        </w:rPr>
      </w:pPr>
    </w:p>
    <w:p w14:paraId="23C5E65A">
      <w:pPr>
        <w:spacing w:line="400" w:lineRule="exact"/>
        <w:ind w:firstLine="482" w:firstLineChars="200"/>
        <w:rPr>
          <w:rFonts w:hint="eastAsia" w:cs="宋体" w:asciiTheme="minorEastAsia" w:hAnsiTheme="minorEastAsia" w:eastAsiaTheme="minorEastAsia"/>
          <w:b/>
          <w:sz w:val="24"/>
          <w:szCs w:val="24"/>
        </w:rPr>
      </w:pPr>
    </w:p>
    <w:p w14:paraId="7A22D3AC">
      <w:pPr>
        <w:pStyle w:val="2"/>
        <w:spacing w:line="240" w:lineRule="auto"/>
        <w:rPr>
          <w:rFonts w:cs="宋体"/>
          <w:sz w:val="40"/>
          <w:szCs w:val="40"/>
        </w:rPr>
      </w:pPr>
      <w:bookmarkStart w:id="11" w:name="_Toc27868"/>
      <w:bookmarkStart w:id="12" w:name="_Toc24220_WPSOffice_Level1"/>
      <w:r>
        <w:rPr>
          <w:rFonts w:hint="eastAsia" w:cs="宋体"/>
        </w:rPr>
        <w:br w:type="page"/>
      </w:r>
      <w:bookmarkStart w:id="13" w:name="_Toc152656708"/>
      <w:r>
        <w:rPr>
          <w:rFonts w:hint="eastAsia" w:cs="宋体"/>
          <w:sz w:val="40"/>
          <w:szCs w:val="40"/>
        </w:rPr>
        <w:t>第二章 供应商须知</w:t>
      </w:r>
      <w:bookmarkEnd w:id="10"/>
      <w:bookmarkEnd w:id="11"/>
      <w:bookmarkEnd w:id="12"/>
      <w:bookmarkEnd w:id="13"/>
    </w:p>
    <w:p w14:paraId="251F6A8B">
      <w:pPr>
        <w:jc w:val="center"/>
        <w:outlineLvl w:val="0"/>
        <w:rPr>
          <w:sz w:val="18"/>
        </w:rPr>
      </w:pPr>
      <w:bookmarkStart w:id="14" w:name="_Toc152656709"/>
      <w:r>
        <w:rPr>
          <w:rFonts w:hint="eastAsia" w:cs="宋体"/>
          <w:kern w:val="44"/>
          <w:sz w:val="36"/>
          <w:szCs w:val="44"/>
        </w:rPr>
        <w:t>供应商须知前附表</w:t>
      </w:r>
      <w:bookmarkEnd w:id="14"/>
    </w:p>
    <w:tbl>
      <w:tblPr>
        <w:tblStyle w:val="28"/>
        <w:tblpPr w:leftFromText="180" w:rightFromText="180" w:vertAnchor="text" w:horzAnchor="page" w:tblpX="1002" w:tblpY="413"/>
        <w:tblOverlap w:val="never"/>
        <w:tblW w:w="10118" w:type="dxa"/>
        <w:tblInd w:w="0" w:type="dxa"/>
        <w:tblLayout w:type="fixed"/>
        <w:tblCellMar>
          <w:top w:w="0" w:type="dxa"/>
          <w:left w:w="108" w:type="dxa"/>
          <w:bottom w:w="0" w:type="dxa"/>
          <w:right w:w="108" w:type="dxa"/>
        </w:tblCellMar>
      </w:tblPr>
      <w:tblGrid>
        <w:gridCol w:w="963"/>
        <w:gridCol w:w="1997"/>
        <w:gridCol w:w="7158"/>
      </w:tblGrid>
      <w:tr w14:paraId="0F07A618">
        <w:tblPrEx>
          <w:tblCellMar>
            <w:top w:w="0" w:type="dxa"/>
            <w:left w:w="108" w:type="dxa"/>
            <w:bottom w:w="0" w:type="dxa"/>
            <w:right w:w="108" w:type="dxa"/>
          </w:tblCellMar>
        </w:tblPrEx>
        <w:trPr>
          <w:trHeight w:val="90" w:hRule="atLeast"/>
        </w:trPr>
        <w:tc>
          <w:tcPr>
            <w:tcW w:w="963" w:type="dxa"/>
            <w:tcBorders>
              <w:top w:val="single" w:color="auto" w:sz="4" w:space="0"/>
              <w:left w:val="single" w:color="auto" w:sz="4" w:space="0"/>
              <w:bottom w:val="single" w:color="auto" w:sz="4" w:space="0"/>
              <w:right w:val="single" w:color="auto" w:sz="4" w:space="0"/>
            </w:tcBorders>
            <w:vAlign w:val="center"/>
          </w:tcPr>
          <w:p w14:paraId="4147101E">
            <w:pPr>
              <w:adjustRightInd w:val="0"/>
              <w:spacing w:line="480" w:lineRule="exact"/>
              <w:jc w:val="center"/>
              <w:textAlignment w:val="baseline"/>
              <w:rPr>
                <w:rFonts w:ascii="宋体" w:cs="宋体"/>
                <w:sz w:val="24"/>
                <w:szCs w:val="24"/>
              </w:rPr>
            </w:pPr>
            <w:bookmarkStart w:id="15" w:name="_Toc330304856"/>
            <w:bookmarkEnd w:id="15"/>
            <w:bookmarkStart w:id="16" w:name="_Toc152045528"/>
            <w:bookmarkEnd w:id="16"/>
            <w:bookmarkStart w:id="17" w:name="_Toc152042304"/>
            <w:bookmarkEnd w:id="17"/>
            <w:bookmarkStart w:id="18" w:name="_Toc144974496"/>
            <w:bookmarkEnd w:id="18"/>
            <w:bookmarkStart w:id="19" w:name="_Toc502_WPSOffice_Level2"/>
            <w:bookmarkStart w:id="20" w:name="_Toc18533"/>
            <w:bookmarkStart w:id="21" w:name="_Toc18242"/>
            <w:bookmarkStart w:id="22" w:name="_Toc12674_WPSOffice_Level2"/>
            <w:r>
              <w:rPr>
                <w:rFonts w:hint="eastAsia" w:ascii="宋体" w:hAnsi="宋体" w:cs="宋体"/>
                <w:sz w:val="24"/>
                <w:szCs w:val="24"/>
              </w:rPr>
              <w:t>条款号</w:t>
            </w:r>
          </w:p>
        </w:tc>
        <w:tc>
          <w:tcPr>
            <w:tcW w:w="1997" w:type="dxa"/>
            <w:tcBorders>
              <w:top w:val="single" w:color="auto" w:sz="4" w:space="0"/>
              <w:left w:val="nil"/>
              <w:bottom w:val="single" w:color="auto" w:sz="4" w:space="0"/>
              <w:right w:val="single" w:color="auto" w:sz="4" w:space="0"/>
            </w:tcBorders>
            <w:vAlign w:val="center"/>
          </w:tcPr>
          <w:p w14:paraId="5E421C86">
            <w:pPr>
              <w:adjustRightInd w:val="0"/>
              <w:spacing w:line="480" w:lineRule="exact"/>
              <w:jc w:val="center"/>
              <w:textAlignment w:val="baseline"/>
              <w:rPr>
                <w:rFonts w:ascii="宋体" w:cs="宋体"/>
                <w:sz w:val="24"/>
                <w:szCs w:val="24"/>
              </w:rPr>
            </w:pPr>
            <w:r>
              <w:rPr>
                <w:rFonts w:hint="eastAsia" w:ascii="宋体" w:hAnsi="宋体" w:cs="宋体"/>
                <w:sz w:val="24"/>
                <w:szCs w:val="24"/>
              </w:rPr>
              <w:t>条款名称</w:t>
            </w:r>
          </w:p>
        </w:tc>
        <w:tc>
          <w:tcPr>
            <w:tcW w:w="7158" w:type="dxa"/>
            <w:tcBorders>
              <w:top w:val="single" w:color="auto" w:sz="4" w:space="0"/>
              <w:left w:val="nil"/>
              <w:bottom w:val="single" w:color="auto" w:sz="4" w:space="0"/>
              <w:right w:val="single" w:color="auto" w:sz="4" w:space="0"/>
            </w:tcBorders>
            <w:vAlign w:val="center"/>
          </w:tcPr>
          <w:p w14:paraId="294D216A">
            <w:pPr>
              <w:adjustRightInd w:val="0"/>
              <w:spacing w:line="480" w:lineRule="exact"/>
              <w:jc w:val="center"/>
              <w:textAlignment w:val="baseline"/>
              <w:rPr>
                <w:rFonts w:ascii="宋体" w:cs="宋体"/>
                <w:sz w:val="24"/>
                <w:szCs w:val="24"/>
              </w:rPr>
            </w:pPr>
            <w:r>
              <w:rPr>
                <w:rFonts w:hint="eastAsia" w:ascii="宋体" w:hAnsi="宋体" w:cs="宋体"/>
                <w:sz w:val="24"/>
                <w:szCs w:val="24"/>
              </w:rPr>
              <w:t>编列内容</w:t>
            </w:r>
          </w:p>
        </w:tc>
      </w:tr>
      <w:tr w14:paraId="0A883F79">
        <w:tblPrEx>
          <w:tblCellMar>
            <w:top w:w="0" w:type="dxa"/>
            <w:left w:w="108" w:type="dxa"/>
            <w:bottom w:w="0" w:type="dxa"/>
            <w:right w:w="108" w:type="dxa"/>
          </w:tblCellMar>
        </w:tblPrEx>
        <w:trPr>
          <w:trHeight w:val="800" w:hRule="atLeast"/>
        </w:trPr>
        <w:tc>
          <w:tcPr>
            <w:tcW w:w="963" w:type="dxa"/>
            <w:tcBorders>
              <w:top w:val="single" w:color="auto" w:sz="4" w:space="0"/>
              <w:left w:val="single" w:color="auto" w:sz="4" w:space="0"/>
              <w:bottom w:val="single" w:color="auto" w:sz="4" w:space="0"/>
              <w:right w:val="single" w:color="auto" w:sz="4" w:space="0"/>
            </w:tcBorders>
            <w:vAlign w:val="center"/>
          </w:tcPr>
          <w:p w14:paraId="337B9E3E">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1.1.2</w:t>
            </w:r>
          </w:p>
        </w:tc>
        <w:tc>
          <w:tcPr>
            <w:tcW w:w="1997" w:type="dxa"/>
            <w:tcBorders>
              <w:top w:val="single" w:color="auto" w:sz="4" w:space="0"/>
              <w:left w:val="nil"/>
              <w:bottom w:val="single" w:color="auto" w:sz="4" w:space="0"/>
              <w:right w:val="single" w:color="auto" w:sz="4" w:space="0"/>
            </w:tcBorders>
            <w:vAlign w:val="center"/>
          </w:tcPr>
          <w:p w14:paraId="28727ADB">
            <w:pPr>
              <w:adjustRightInd w:val="0"/>
              <w:spacing w:line="480" w:lineRule="exact"/>
              <w:jc w:val="center"/>
              <w:textAlignment w:val="baseline"/>
              <w:rPr>
                <w:rFonts w:ascii="宋体" w:cs="宋体"/>
                <w:sz w:val="24"/>
                <w:szCs w:val="24"/>
              </w:rPr>
            </w:pPr>
            <w:r>
              <w:rPr>
                <w:rFonts w:hint="eastAsia" w:ascii="宋体" w:hAnsi="宋体" w:cs="宋体"/>
                <w:sz w:val="24"/>
                <w:szCs w:val="24"/>
              </w:rPr>
              <w:t>采购人</w:t>
            </w:r>
          </w:p>
        </w:tc>
        <w:tc>
          <w:tcPr>
            <w:tcW w:w="7158" w:type="dxa"/>
            <w:tcBorders>
              <w:top w:val="single" w:color="auto" w:sz="4" w:space="0"/>
              <w:left w:val="nil"/>
              <w:bottom w:val="single" w:color="auto" w:sz="4" w:space="0"/>
              <w:right w:val="single" w:color="auto" w:sz="4" w:space="0"/>
            </w:tcBorders>
            <w:vAlign w:val="center"/>
          </w:tcPr>
          <w:p w14:paraId="4ADFDE3A">
            <w:pPr>
              <w:spacing w:line="480" w:lineRule="exact"/>
              <w:rPr>
                <w:rFonts w:ascii="宋体" w:cs="宋体"/>
                <w:color w:val="FF0000"/>
                <w:sz w:val="24"/>
                <w:szCs w:val="24"/>
              </w:rPr>
            </w:pPr>
            <w:r>
              <w:rPr>
                <w:rFonts w:hint="eastAsia" w:ascii="宋体" w:cs="宋体"/>
                <w:color w:val="FF0000"/>
                <w:sz w:val="24"/>
                <w:szCs w:val="24"/>
              </w:rPr>
              <w:t>名 称：新郑市新建路社区卫生服务中心</w:t>
            </w:r>
          </w:p>
          <w:p w14:paraId="095D3988">
            <w:pPr>
              <w:spacing w:line="480" w:lineRule="exact"/>
              <w:rPr>
                <w:rFonts w:ascii="宋体" w:cs="宋体"/>
                <w:color w:val="FF0000"/>
                <w:sz w:val="24"/>
                <w:szCs w:val="24"/>
              </w:rPr>
            </w:pPr>
            <w:r>
              <w:rPr>
                <w:rFonts w:hint="eastAsia" w:ascii="宋体" w:cs="宋体"/>
                <w:color w:val="FF0000"/>
                <w:sz w:val="24"/>
                <w:szCs w:val="24"/>
              </w:rPr>
              <w:t>地址：新郑市新建路社区</w:t>
            </w:r>
          </w:p>
          <w:p w14:paraId="5874BD71">
            <w:pPr>
              <w:spacing w:line="480" w:lineRule="exact"/>
              <w:rPr>
                <w:rFonts w:hint="default" w:ascii="宋体" w:eastAsia="宋体" w:cs="宋体"/>
                <w:color w:val="FF0000"/>
                <w:sz w:val="24"/>
                <w:szCs w:val="24"/>
                <w:lang w:val="en-US" w:eastAsia="zh-CN"/>
              </w:rPr>
            </w:pPr>
            <w:r>
              <w:rPr>
                <w:rFonts w:hint="eastAsia" w:ascii="宋体" w:cs="宋体"/>
                <w:color w:val="FF0000"/>
                <w:sz w:val="24"/>
                <w:szCs w:val="24"/>
              </w:rPr>
              <w:t>联系</w:t>
            </w:r>
            <w:r>
              <w:rPr>
                <w:rFonts w:hint="eastAsia" w:ascii="宋体" w:cs="宋体"/>
                <w:color w:val="FF0000"/>
                <w:sz w:val="24"/>
                <w:szCs w:val="24"/>
                <w:lang w:val="en-US" w:eastAsia="zh-CN"/>
              </w:rPr>
              <w:t>:陈女士</w:t>
            </w:r>
          </w:p>
          <w:p w14:paraId="11948A3F">
            <w:pPr>
              <w:spacing w:line="480" w:lineRule="exact"/>
              <w:rPr>
                <w:rFonts w:ascii="宋体" w:cs="宋体"/>
                <w:color w:val="FF0000"/>
                <w:sz w:val="24"/>
                <w:szCs w:val="24"/>
              </w:rPr>
            </w:pPr>
            <w:r>
              <w:rPr>
                <w:rFonts w:hint="eastAsia" w:ascii="宋体" w:cs="宋体"/>
                <w:color w:val="FF0000"/>
                <w:sz w:val="24"/>
                <w:szCs w:val="24"/>
              </w:rPr>
              <w:t>联系方式：</w:t>
            </w:r>
            <w:r>
              <w:rPr>
                <w:rFonts w:hint="eastAsia" w:ascii="宋体" w:cs="宋体"/>
                <w:color w:val="FF0000"/>
                <w:sz w:val="24"/>
                <w:szCs w:val="24"/>
                <w:lang w:val="en-US" w:eastAsia="zh-CN"/>
              </w:rPr>
              <w:t>0371-62592906</w:t>
            </w:r>
            <w:r>
              <w:rPr>
                <w:rFonts w:hint="eastAsia" w:ascii="宋体" w:cs="宋体"/>
                <w:color w:val="FF0000"/>
                <w:sz w:val="24"/>
                <w:szCs w:val="24"/>
              </w:rPr>
              <w:t xml:space="preserve"> </w:t>
            </w:r>
          </w:p>
        </w:tc>
      </w:tr>
      <w:tr w14:paraId="5EB2811C">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27F7BB5B">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1.1.3</w:t>
            </w:r>
          </w:p>
        </w:tc>
        <w:tc>
          <w:tcPr>
            <w:tcW w:w="1997" w:type="dxa"/>
            <w:tcBorders>
              <w:top w:val="single" w:color="auto" w:sz="4" w:space="0"/>
              <w:left w:val="nil"/>
              <w:bottom w:val="single" w:color="auto" w:sz="4" w:space="0"/>
              <w:right w:val="single" w:color="auto" w:sz="4" w:space="0"/>
            </w:tcBorders>
            <w:vAlign w:val="center"/>
          </w:tcPr>
          <w:p w14:paraId="65DB66F3">
            <w:pPr>
              <w:adjustRightInd w:val="0"/>
              <w:spacing w:line="480" w:lineRule="exact"/>
              <w:jc w:val="center"/>
              <w:textAlignment w:val="baseline"/>
              <w:rPr>
                <w:rFonts w:ascii="宋体" w:cs="宋体"/>
                <w:sz w:val="24"/>
                <w:szCs w:val="24"/>
              </w:rPr>
            </w:pPr>
            <w:r>
              <w:rPr>
                <w:rFonts w:hint="eastAsia" w:ascii="宋体" w:hAnsi="宋体" w:cs="宋体"/>
                <w:sz w:val="24"/>
                <w:szCs w:val="24"/>
              </w:rPr>
              <w:t>招标代理机构</w:t>
            </w:r>
          </w:p>
        </w:tc>
        <w:tc>
          <w:tcPr>
            <w:tcW w:w="7158" w:type="dxa"/>
            <w:tcBorders>
              <w:top w:val="single" w:color="auto" w:sz="4" w:space="0"/>
              <w:left w:val="nil"/>
              <w:bottom w:val="single" w:color="auto" w:sz="4" w:space="0"/>
              <w:right w:val="single" w:color="auto" w:sz="4" w:space="0"/>
            </w:tcBorders>
            <w:vAlign w:val="center"/>
          </w:tcPr>
          <w:p w14:paraId="2D0970C3">
            <w:pPr>
              <w:adjustRightInd w:val="0"/>
              <w:spacing w:line="480" w:lineRule="exact"/>
              <w:textAlignment w:val="baseline"/>
              <w:rPr>
                <w:rFonts w:ascii="宋体" w:cs="宋体"/>
                <w:color w:val="FF0000"/>
                <w:sz w:val="24"/>
                <w:szCs w:val="24"/>
              </w:rPr>
            </w:pPr>
            <w:r>
              <w:rPr>
                <w:rFonts w:hint="eastAsia" w:ascii="宋体" w:cs="宋体"/>
                <w:color w:val="FF0000"/>
                <w:sz w:val="24"/>
                <w:szCs w:val="24"/>
              </w:rPr>
              <w:t>名称：河南联仁工程管理有限公司</w:t>
            </w:r>
          </w:p>
          <w:p w14:paraId="5E37C5AD">
            <w:pPr>
              <w:adjustRightInd w:val="0"/>
              <w:spacing w:line="480" w:lineRule="exact"/>
              <w:textAlignment w:val="baseline"/>
              <w:rPr>
                <w:rFonts w:ascii="宋体" w:cs="宋体"/>
                <w:color w:val="FF0000"/>
                <w:sz w:val="24"/>
                <w:szCs w:val="24"/>
              </w:rPr>
            </w:pPr>
            <w:r>
              <w:rPr>
                <w:rFonts w:hint="eastAsia" w:ascii="宋体" w:cs="宋体"/>
                <w:color w:val="FF0000"/>
                <w:sz w:val="24"/>
                <w:szCs w:val="24"/>
              </w:rPr>
              <w:t>地址：郑州市建业五栋大楼B座1107</w:t>
            </w:r>
          </w:p>
          <w:p w14:paraId="1CA759B6">
            <w:pPr>
              <w:adjustRightInd w:val="0"/>
              <w:spacing w:line="480" w:lineRule="exact"/>
              <w:textAlignment w:val="baseline"/>
              <w:rPr>
                <w:rFonts w:ascii="宋体" w:cs="宋体"/>
                <w:color w:val="FF0000"/>
                <w:sz w:val="24"/>
                <w:szCs w:val="24"/>
              </w:rPr>
            </w:pPr>
            <w:r>
              <w:rPr>
                <w:rFonts w:hint="eastAsia" w:ascii="宋体" w:cs="宋体"/>
                <w:color w:val="FF0000"/>
                <w:sz w:val="24"/>
                <w:szCs w:val="24"/>
              </w:rPr>
              <w:t>联系人：李先生</w:t>
            </w:r>
          </w:p>
          <w:p w14:paraId="5B29691E">
            <w:pPr>
              <w:adjustRightInd w:val="0"/>
              <w:spacing w:line="480" w:lineRule="exact"/>
              <w:textAlignment w:val="baseline"/>
              <w:rPr>
                <w:rFonts w:ascii="宋体" w:cs="宋体"/>
                <w:color w:val="FF0000"/>
                <w:sz w:val="24"/>
                <w:szCs w:val="24"/>
              </w:rPr>
            </w:pPr>
            <w:r>
              <w:rPr>
                <w:rFonts w:hint="eastAsia" w:ascii="宋体" w:cs="宋体"/>
                <w:color w:val="FF0000"/>
                <w:sz w:val="24"/>
                <w:szCs w:val="24"/>
              </w:rPr>
              <w:t>联系电话：18736337862</w:t>
            </w:r>
          </w:p>
        </w:tc>
      </w:tr>
      <w:tr w14:paraId="6B56EFEC">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010FE784">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1.1.4</w:t>
            </w:r>
          </w:p>
        </w:tc>
        <w:tc>
          <w:tcPr>
            <w:tcW w:w="1997" w:type="dxa"/>
            <w:tcBorders>
              <w:top w:val="single" w:color="auto" w:sz="4" w:space="0"/>
              <w:left w:val="nil"/>
              <w:bottom w:val="single" w:color="auto" w:sz="4" w:space="0"/>
              <w:right w:val="single" w:color="auto" w:sz="4" w:space="0"/>
            </w:tcBorders>
            <w:vAlign w:val="center"/>
          </w:tcPr>
          <w:p w14:paraId="5A316C59">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监督单位</w:t>
            </w:r>
          </w:p>
        </w:tc>
        <w:tc>
          <w:tcPr>
            <w:tcW w:w="7158" w:type="dxa"/>
            <w:tcBorders>
              <w:top w:val="single" w:color="auto" w:sz="4" w:space="0"/>
              <w:left w:val="nil"/>
              <w:bottom w:val="single" w:color="auto" w:sz="4" w:space="0"/>
              <w:right w:val="single" w:color="auto" w:sz="4" w:space="0"/>
            </w:tcBorders>
            <w:vAlign w:val="center"/>
          </w:tcPr>
          <w:p w14:paraId="3516716B">
            <w:pPr>
              <w:adjustRightInd w:val="0"/>
              <w:spacing w:line="480" w:lineRule="exact"/>
              <w:textAlignment w:val="baseline"/>
              <w:rPr>
                <w:rFonts w:hint="eastAsia" w:ascii="宋体" w:hAnsi="宋体" w:cs="宋体"/>
                <w:sz w:val="24"/>
                <w:szCs w:val="24"/>
              </w:rPr>
            </w:pPr>
            <w:r>
              <w:rPr>
                <w:rFonts w:ascii="宋体" w:hAnsi="宋体" w:cs="宋体"/>
                <w:sz w:val="24"/>
                <w:szCs w:val="24"/>
              </w:rPr>
              <w:t xml:space="preserve">监督单位：新郑市财政局政府采购监督管理办公室 </w:t>
            </w:r>
          </w:p>
          <w:p w14:paraId="3909E811">
            <w:pPr>
              <w:adjustRightInd w:val="0"/>
              <w:spacing w:line="480" w:lineRule="exact"/>
              <w:textAlignment w:val="baseline"/>
              <w:rPr>
                <w:rFonts w:hint="eastAsia" w:ascii="宋体" w:hAnsi="宋体" w:cs="宋体"/>
                <w:sz w:val="24"/>
                <w:szCs w:val="24"/>
              </w:rPr>
            </w:pPr>
            <w:r>
              <w:rPr>
                <w:rFonts w:ascii="宋体" w:hAnsi="宋体" w:cs="宋体"/>
                <w:sz w:val="24"/>
                <w:szCs w:val="24"/>
              </w:rPr>
              <w:t xml:space="preserve">地址：新郑市华夏国际八楼 </w:t>
            </w:r>
          </w:p>
          <w:p w14:paraId="4C18B7FB">
            <w:pPr>
              <w:adjustRightInd w:val="0"/>
              <w:spacing w:line="480" w:lineRule="exact"/>
              <w:textAlignment w:val="baseline"/>
              <w:rPr>
                <w:rFonts w:hint="eastAsia" w:ascii="宋体" w:hAnsi="宋体" w:cs="宋体"/>
                <w:kern w:val="0"/>
                <w:sz w:val="24"/>
                <w:szCs w:val="24"/>
              </w:rPr>
            </w:pPr>
            <w:r>
              <w:rPr>
                <w:rFonts w:ascii="宋体" w:hAnsi="宋体" w:cs="宋体"/>
                <w:sz w:val="24"/>
                <w:szCs w:val="24"/>
              </w:rPr>
              <w:t>联系电话：0371-62684176</w:t>
            </w:r>
          </w:p>
        </w:tc>
      </w:tr>
      <w:tr w14:paraId="39CE67AB">
        <w:tblPrEx>
          <w:tblCellMar>
            <w:top w:w="0" w:type="dxa"/>
            <w:left w:w="108" w:type="dxa"/>
            <w:bottom w:w="0" w:type="dxa"/>
            <w:right w:w="108" w:type="dxa"/>
          </w:tblCellMar>
        </w:tblPrEx>
        <w:trPr>
          <w:trHeight w:val="548" w:hRule="atLeast"/>
        </w:trPr>
        <w:tc>
          <w:tcPr>
            <w:tcW w:w="963" w:type="dxa"/>
            <w:tcBorders>
              <w:top w:val="single" w:color="auto" w:sz="4" w:space="0"/>
              <w:left w:val="single" w:color="auto" w:sz="4" w:space="0"/>
              <w:bottom w:val="single" w:color="auto" w:sz="4" w:space="0"/>
              <w:right w:val="single" w:color="auto" w:sz="4" w:space="0"/>
            </w:tcBorders>
            <w:vAlign w:val="center"/>
          </w:tcPr>
          <w:p w14:paraId="013F257A">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w:t>
            </w:r>
            <w:r>
              <w:rPr>
                <w:rFonts w:hint="eastAsia" w:ascii="宋体" w:hAnsi="宋体" w:cs="宋体"/>
                <w:sz w:val="24"/>
                <w:szCs w:val="24"/>
              </w:rPr>
              <w:t>5</w:t>
            </w:r>
          </w:p>
        </w:tc>
        <w:tc>
          <w:tcPr>
            <w:tcW w:w="1997" w:type="dxa"/>
            <w:tcBorders>
              <w:top w:val="single" w:color="auto" w:sz="4" w:space="0"/>
              <w:left w:val="nil"/>
              <w:bottom w:val="single" w:color="auto" w:sz="4" w:space="0"/>
              <w:right w:val="single" w:color="auto" w:sz="4" w:space="0"/>
            </w:tcBorders>
            <w:vAlign w:val="center"/>
          </w:tcPr>
          <w:p w14:paraId="6E8D6CCB">
            <w:pPr>
              <w:adjustRightInd w:val="0"/>
              <w:spacing w:line="480" w:lineRule="exact"/>
              <w:jc w:val="center"/>
              <w:textAlignment w:val="baseline"/>
              <w:rPr>
                <w:rFonts w:ascii="宋体" w:cs="宋体"/>
                <w:color w:val="FF0000"/>
                <w:sz w:val="24"/>
                <w:szCs w:val="24"/>
              </w:rPr>
            </w:pPr>
            <w:r>
              <w:rPr>
                <w:rFonts w:hint="eastAsia" w:ascii="宋体" w:hAnsi="宋体" w:cs="宋体"/>
                <w:color w:val="FF0000"/>
                <w:sz w:val="24"/>
                <w:szCs w:val="24"/>
              </w:rPr>
              <w:t>项目名称及项目编号</w:t>
            </w:r>
          </w:p>
        </w:tc>
        <w:tc>
          <w:tcPr>
            <w:tcW w:w="7158" w:type="dxa"/>
            <w:tcBorders>
              <w:top w:val="single" w:color="auto" w:sz="4" w:space="0"/>
              <w:left w:val="nil"/>
              <w:bottom w:val="single" w:color="auto" w:sz="4" w:space="0"/>
              <w:right w:val="single" w:color="auto" w:sz="4" w:space="0"/>
            </w:tcBorders>
            <w:vAlign w:val="center"/>
          </w:tcPr>
          <w:p w14:paraId="42939FC8">
            <w:pPr>
              <w:adjustRightInd w:val="0"/>
              <w:spacing w:line="480" w:lineRule="exact"/>
              <w:textAlignment w:val="baseline"/>
              <w:rPr>
                <w:rFonts w:ascii="宋体" w:cs="宋体"/>
                <w:color w:val="FF0000"/>
                <w:sz w:val="24"/>
                <w:szCs w:val="24"/>
              </w:rPr>
            </w:pPr>
            <w:r>
              <w:rPr>
                <w:rFonts w:hint="eastAsia" w:ascii="宋体" w:cs="宋体"/>
                <w:color w:val="FF0000"/>
                <w:sz w:val="24"/>
                <w:szCs w:val="24"/>
              </w:rPr>
              <w:t>项目名称：新郑市新建路社区卫生服务中心建设医养结合健康管理中心项目</w:t>
            </w:r>
          </w:p>
          <w:p w14:paraId="3465A096">
            <w:pPr>
              <w:adjustRightInd w:val="0"/>
              <w:spacing w:line="480" w:lineRule="exact"/>
              <w:textAlignment w:val="baseline"/>
              <w:rPr>
                <w:rFonts w:ascii="宋体" w:cs="宋体"/>
                <w:color w:val="FF0000"/>
                <w:sz w:val="24"/>
                <w:szCs w:val="24"/>
              </w:rPr>
            </w:pPr>
            <w:r>
              <w:rPr>
                <w:rFonts w:hint="eastAsia" w:ascii="宋体" w:cs="宋体"/>
                <w:color w:val="FF0000"/>
                <w:sz w:val="24"/>
                <w:szCs w:val="24"/>
              </w:rPr>
              <w:t>项目编号：</w:t>
            </w:r>
            <w:r>
              <w:rPr>
                <w:rFonts w:hint="eastAsia" w:ascii="宋体" w:cs="宋体"/>
                <w:color w:val="FF0000"/>
                <w:sz w:val="24"/>
                <w:szCs w:val="24"/>
                <w:lang w:val="en-US" w:eastAsia="zh-CN"/>
              </w:rPr>
              <w:t>新财磋商采购-2025-67</w:t>
            </w:r>
            <w:r>
              <w:rPr>
                <w:rFonts w:hint="eastAsia" w:ascii="宋体" w:cs="宋体"/>
                <w:color w:val="FF0000"/>
                <w:sz w:val="24"/>
                <w:szCs w:val="24"/>
              </w:rPr>
              <w:t xml:space="preserve"> </w:t>
            </w:r>
          </w:p>
        </w:tc>
      </w:tr>
      <w:tr w14:paraId="2FA14DBC">
        <w:tblPrEx>
          <w:tblCellMar>
            <w:top w:w="0" w:type="dxa"/>
            <w:left w:w="108" w:type="dxa"/>
            <w:bottom w:w="0" w:type="dxa"/>
            <w:right w:w="108" w:type="dxa"/>
          </w:tblCellMar>
        </w:tblPrEx>
        <w:trPr>
          <w:trHeight w:val="563" w:hRule="atLeast"/>
        </w:trPr>
        <w:tc>
          <w:tcPr>
            <w:tcW w:w="963" w:type="dxa"/>
            <w:tcBorders>
              <w:top w:val="single" w:color="auto" w:sz="4" w:space="0"/>
              <w:left w:val="single" w:color="auto" w:sz="4" w:space="0"/>
              <w:bottom w:val="single" w:color="auto" w:sz="4" w:space="0"/>
              <w:right w:val="single" w:color="auto" w:sz="4" w:space="0"/>
            </w:tcBorders>
            <w:vAlign w:val="center"/>
          </w:tcPr>
          <w:p w14:paraId="3E6BE868">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w:t>
            </w:r>
            <w:r>
              <w:rPr>
                <w:rFonts w:hint="eastAsia" w:ascii="宋体" w:hAnsi="宋体" w:cs="宋体"/>
                <w:sz w:val="24"/>
                <w:szCs w:val="24"/>
              </w:rPr>
              <w:t>6</w:t>
            </w:r>
          </w:p>
        </w:tc>
        <w:tc>
          <w:tcPr>
            <w:tcW w:w="1997" w:type="dxa"/>
            <w:tcBorders>
              <w:top w:val="single" w:color="auto" w:sz="4" w:space="0"/>
              <w:left w:val="nil"/>
              <w:bottom w:val="single" w:color="auto" w:sz="4" w:space="0"/>
              <w:right w:val="single" w:color="auto" w:sz="4" w:space="0"/>
            </w:tcBorders>
            <w:vAlign w:val="center"/>
          </w:tcPr>
          <w:p w14:paraId="4CBFBD17">
            <w:pPr>
              <w:adjustRightInd w:val="0"/>
              <w:spacing w:line="480" w:lineRule="exact"/>
              <w:jc w:val="center"/>
              <w:textAlignment w:val="baseline"/>
              <w:rPr>
                <w:rFonts w:ascii="宋体" w:cs="宋体"/>
                <w:sz w:val="24"/>
                <w:szCs w:val="24"/>
              </w:rPr>
            </w:pPr>
            <w:r>
              <w:rPr>
                <w:rFonts w:hint="eastAsia" w:ascii="宋体" w:hAnsi="宋体" w:cs="宋体"/>
                <w:sz w:val="24"/>
                <w:szCs w:val="24"/>
              </w:rPr>
              <w:t>项目地点</w:t>
            </w:r>
          </w:p>
        </w:tc>
        <w:tc>
          <w:tcPr>
            <w:tcW w:w="7158" w:type="dxa"/>
            <w:tcBorders>
              <w:top w:val="single" w:color="auto" w:sz="4" w:space="0"/>
              <w:left w:val="nil"/>
              <w:bottom w:val="single" w:color="auto" w:sz="4" w:space="0"/>
              <w:right w:val="single" w:color="auto" w:sz="4" w:space="0"/>
            </w:tcBorders>
            <w:vAlign w:val="center"/>
          </w:tcPr>
          <w:p w14:paraId="72C5F6FD">
            <w:pPr>
              <w:adjustRightInd w:val="0"/>
              <w:spacing w:line="480" w:lineRule="exact"/>
              <w:textAlignment w:val="baseline"/>
              <w:rPr>
                <w:rFonts w:ascii="宋体" w:cs="宋体"/>
                <w:sz w:val="24"/>
                <w:szCs w:val="24"/>
              </w:rPr>
            </w:pPr>
            <w:r>
              <w:rPr>
                <w:rFonts w:hint="eastAsia" w:ascii="宋体" w:hAnsi="宋体"/>
                <w:sz w:val="24"/>
                <w:szCs w:val="24"/>
              </w:rPr>
              <w:t>新郑市新建路社区卫生服务中心</w:t>
            </w:r>
          </w:p>
        </w:tc>
      </w:tr>
      <w:tr w14:paraId="28DB9288">
        <w:tblPrEx>
          <w:tblCellMar>
            <w:top w:w="0" w:type="dxa"/>
            <w:left w:w="108" w:type="dxa"/>
            <w:bottom w:w="0" w:type="dxa"/>
            <w:right w:w="108" w:type="dxa"/>
          </w:tblCellMar>
        </w:tblPrEx>
        <w:trPr>
          <w:trHeight w:val="563" w:hRule="atLeast"/>
        </w:trPr>
        <w:tc>
          <w:tcPr>
            <w:tcW w:w="963" w:type="dxa"/>
            <w:tcBorders>
              <w:top w:val="single" w:color="auto" w:sz="4" w:space="0"/>
              <w:left w:val="single" w:color="auto" w:sz="4" w:space="0"/>
              <w:bottom w:val="single" w:color="auto" w:sz="4" w:space="0"/>
              <w:right w:val="single" w:color="auto" w:sz="4" w:space="0"/>
            </w:tcBorders>
            <w:vAlign w:val="center"/>
          </w:tcPr>
          <w:p w14:paraId="5A2FE8A8">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1.2.1</w:t>
            </w:r>
          </w:p>
        </w:tc>
        <w:tc>
          <w:tcPr>
            <w:tcW w:w="1997" w:type="dxa"/>
            <w:tcBorders>
              <w:top w:val="single" w:color="auto" w:sz="4" w:space="0"/>
              <w:left w:val="nil"/>
              <w:bottom w:val="single" w:color="auto" w:sz="4" w:space="0"/>
              <w:right w:val="single" w:color="auto" w:sz="4" w:space="0"/>
            </w:tcBorders>
            <w:vAlign w:val="center"/>
          </w:tcPr>
          <w:p w14:paraId="7AFD5A2E">
            <w:pPr>
              <w:adjustRightInd w:val="0"/>
              <w:spacing w:line="480" w:lineRule="exact"/>
              <w:jc w:val="center"/>
              <w:textAlignment w:val="baseline"/>
              <w:rPr>
                <w:rFonts w:ascii="宋体" w:cs="宋体"/>
                <w:sz w:val="24"/>
                <w:szCs w:val="24"/>
              </w:rPr>
            </w:pPr>
            <w:r>
              <w:rPr>
                <w:rFonts w:hint="eastAsia" w:ascii="宋体" w:hAnsi="宋体" w:cs="宋体"/>
                <w:sz w:val="24"/>
                <w:szCs w:val="24"/>
              </w:rPr>
              <w:t>资金来源及比例</w:t>
            </w:r>
          </w:p>
        </w:tc>
        <w:tc>
          <w:tcPr>
            <w:tcW w:w="7158" w:type="dxa"/>
            <w:tcBorders>
              <w:top w:val="single" w:color="auto" w:sz="4" w:space="0"/>
              <w:left w:val="nil"/>
              <w:bottom w:val="single" w:color="auto" w:sz="4" w:space="0"/>
              <w:right w:val="single" w:color="auto" w:sz="4" w:space="0"/>
            </w:tcBorders>
            <w:vAlign w:val="center"/>
          </w:tcPr>
          <w:p w14:paraId="64799F27">
            <w:pPr>
              <w:adjustRightInd w:val="0"/>
              <w:spacing w:line="480" w:lineRule="exact"/>
              <w:textAlignment w:val="baseline"/>
              <w:rPr>
                <w:rFonts w:hint="eastAsia" w:ascii="宋体" w:hAnsi="宋体" w:cs="宋体"/>
                <w:sz w:val="24"/>
                <w:szCs w:val="24"/>
              </w:rPr>
            </w:pPr>
            <w:r>
              <w:rPr>
                <w:rFonts w:hint="eastAsia" w:ascii="宋体" w:hAnsi="宋体" w:cs="宋体"/>
                <w:sz w:val="24"/>
                <w:szCs w:val="24"/>
              </w:rPr>
              <w:t>2024年河南省福利彩票公益金支持的医养结合项目资金，</w:t>
            </w:r>
            <w:r>
              <w:rPr>
                <w:rFonts w:ascii="宋体" w:hAnsi="宋体" w:cs="宋体"/>
                <w:sz w:val="24"/>
                <w:szCs w:val="24"/>
              </w:rPr>
              <w:t>100%</w:t>
            </w:r>
          </w:p>
        </w:tc>
      </w:tr>
      <w:tr w14:paraId="4C5E1ADD">
        <w:tblPrEx>
          <w:tblCellMar>
            <w:top w:w="0" w:type="dxa"/>
            <w:left w:w="108" w:type="dxa"/>
            <w:bottom w:w="0" w:type="dxa"/>
            <w:right w:w="108" w:type="dxa"/>
          </w:tblCellMar>
        </w:tblPrEx>
        <w:trPr>
          <w:trHeight w:val="563" w:hRule="atLeast"/>
        </w:trPr>
        <w:tc>
          <w:tcPr>
            <w:tcW w:w="963" w:type="dxa"/>
            <w:tcBorders>
              <w:top w:val="single" w:color="auto" w:sz="4" w:space="0"/>
              <w:left w:val="single" w:color="auto" w:sz="4" w:space="0"/>
              <w:bottom w:val="single" w:color="auto" w:sz="4" w:space="0"/>
              <w:right w:val="single" w:color="auto" w:sz="4" w:space="0"/>
            </w:tcBorders>
            <w:vAlign w:val="center"/>
          </w:tcPr>
          <w:p w14:paraId="0A912C73">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1.2.2</w:t>
            </w:r>
          </w:p>
        </w:tc>
        <w:tc>
          <w:tcPr>
            <w:tcW w:w="1997" w:type="dxa"/>
            <w:tcBorders>
              <w:top w:val="single" w:color="auto" w:sz="4" w:space="0"/>
              <w:left w:val="nil"/>
              <w:bottom w:val="single" w:color="auto" w:sz="4" w:space="0"/>
              <w:right w:val="single" w:color="auto" w:sz="4" w:space="0"/>
            </w:tcBorders>
            <w:vAlign w:val="center"/>
          </w:tcPr>
          <w:p w14:paraId="7E62DE5D">
            <w:pPr>
              <w:adjustRightInd w:val="0"/>
              <w:spacing w:line="480" w:lineRule="exact"/>
              <w:jc w:val="center"/>
              <w:textAlignment w:val="baseline"/>
              <w:rPr>
                <w:rFonts w:ascii="宋体" w:cs="宋体"/>
                <w:sz w:val="24"/>
                <w:szCs w:val="24"/>
              </w:rPr>
            </w:pPr>
            <w:r>
              <w:rPr>
                <w:rFonts w:hint="eastAsia" w:ascii="宋体" w:hAnsi="宋体" w:cs="宋体"/>
                <w:sz w:val="24"/>
                <w:szCs w:val="24"/>
              </w:rPr>
              <w:t>资金落实情况</w:t>
            </w:r>
          </w:p>
        </w:tc>
        <w:tc>
          <w:tcPr>
            <w:tcW w:w="7158" w:type="dxa"/>
            <w:tcBorders>
              <w:top w:val="single" w:color="auto" w:sz="4" w:space="0"/>
              <w:left w:val="nil"/>
              <w:bottom w:val="single" w:color="auto" w:sz="4" w:space="0"/>
              <w:right w:val="single" w:color="auto" w:sz="4" w:space="0"/>
            </w:tcBorders>
            <w:vAlign w:val="center"/>
          </w:tcPr>
          <w:p w14:paraId="31F98488">
            <w:pPr>
              <w:adjustRightInd w:val="0"/>
              <w:spacing w:line="480" w:lineRule="exact"/>
              <w:textAlignment w:val="baseline"/>
              <w:rPr>
                <w:rFonts w:ascii="宋体" w:cs="宋体"/>
                <w:sz w:val="24"/>
                <w:szCs w:val="24"/>
              </w:rPr>
            </w:pPr>
            <w:r>
              <w:rPr>
                <w:rFonts w:hint="eastAsia" w:ascii="宋体" w:hAnsi="宋体" w:cs="宋体"/>
                <w:sz w:val="24"/>
                <w:szCs w:val="24"/>
              </w:rPr>
              <w:t>已落实</w:t>
            </w:r>
          </w:p>
        </w:tc>
      </w:tr>
      <w:tr w14:paraId="42B665C4">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513978BC">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1.3.1</w:t>
            </w:r>
          </w:p>
        </w:tc>
        <w:tc>
          <w:tcPr>
            <w:tcW w:w="1997" w:type="dxa"/>
            <w:tcBorders>
              <w:top w:val="single" w:color="auto" w:sz="4" w:space="0"/>
              <w:left w:val="nil"/>
              <w:bottom w:val="single" w:color="auto" w:sz="4" w:space="0"/>
              <w:right w:val="single" w:color="auto" w:sz="4" w:space="0"/>
            </w:tcBorders>
            <w:vAlign w:val="center"/>
          </w:tcPr>
          <w:p w14:paraId="24D9A615">
            <w:pPr>
              <w:adjustRightInd w:val="0"/>
              <w:spacing w:line="480" w:lineRule="exact"/>
              <w:jc w:val="center"/>
              <w:textAlignment w:val="baseline"/>
              <w:rPr>
                <w:rFonts w:ascii="宋体" w:cs="宋体"/>
                <w:sz w:val="24"/>
                <w:szCs w:val="24"/>
              </w:rPr>
            </w:pPr>
            <w:r>
              <w:rPr>
                <w:rFonts w:hint="eastAsia" w:ascii="宋体" w:hAnsi="宋体" w:cs="宋体"/>
                <w:sz w:val="24"/>
                <w:szCs w:val="24"/>
              </w:rPr>
              <w:t>招标范围</w:t>
            </w:r>
          </w:p>
        </w:tc>
        <w:tc>
          <w:tcPr>
            <w:tcW w:w="7158" w:type="dxa"/>
            <w:tcBorders>
              <w:top w:val="single" w:color="auto" w:sz="4" w:space="0"/>
              <w:left w:val="nil"/>
              <w:bottom w:val="single" w:color="auto" w:sz="4" w:space="0"/>
              <w:right w:val="single" w:color="auto" w:sz="4" w:space="0"/>
            </w:tcBorders>
            <w:vAlign w:val="center"/>
          </w:tcPr>
          <w:p w14:paraId="4CC528AD">
            <w:pPr>
              <w:pStyle w:val="14"/>
              <w:spacing w:line="480" w:lineRule="exact"/>
              <w:rPr>
                <w:rFonts w:hint="eastAsia" w:hAnsi="宋体"/>
                <w:kern w:val="2"/>
                <w:sz w:val="24"/>
                <w:szCs w:val="24"/>
              </w:rPr>
            </w:pPr>
            <w:r>
              <w:rPr>
                <w:rFonts w:hint="eastAsia" w:hAnsi="宋体" w:cs="宋体"/>
                <w:kern w:val="2"/>
                <w:sz w:val="24"/>
                <w:szCs w:val="24"/>
              </w:rPr>
              <w:t>竞争性磋商文件所含全部内容</w:t>
            </w:r>
          </w:p>
        </w:tc>
      </w:tr>
      <w:tr w14:paraId="18567A0A">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6A6ADFC6">
            <w:pPr>
              <w:spacing w:line="480" w:lineRule="exact"/>
              <w:jc w:val="center"/>
              <w:rPr>
                <w:rFonts w:hint="eastAsia" w:ascii="宋体" w:hAnsi="宋体" w:cs="宋体"/>
                <w:sz w:val="24"/>
                <w:szCs w:val="24"/>
              </w:rPr>
            </w:pPr>
            <w:r>
              <w:rPr>
                <w:rFonts w:ascii="宋体" w:hAnsi="宋体" w:cs="宋体"/>
                <w:sz w:val="24"/>
                <w:szCs w:val="24"/>
              </w:rPr>
              <w:t>1.3.2</w:t>
            </w:r>
          </w:p>
        </w:tc>
        <w:tc>
          <w:tcPr>
            <w:tcW w:w="1997" w:type="dxa"/>
            <w:tcBorders>
              <w:top w:val="single" w:color="auto" w:sz="4" w:space="0"/>
              <w:left w:val="nil"/>
              <w:bottom w:val="single" w:color="auto" w:sz="4" w:space="0"/>
              <w:right w:val="single" w:color="auto" w:sz="4" w:space="0"/>
            </w:tcBorders>
            <w:vAlign w:val="center"/>
          </w:tcPr>
          <w:p w14:paraId="2117AB63">
            <w:pPr>
              <w:spacing w:line="480" w:lineRule="exact"/>
              <w:jc w:val="center"/>
              <w:rPr>
                <w:rFonts w:ascii="宋体" w:cs="宋体"/>
                <w:sz w:val="24"/>
                <w:szCs w:val="24"/>
              </w:rPr>
            </w:pPr>
            <w:r>
              <w:rPr>
                <w:rFonts w:hint="eastAsia" w:ascii="宋体" w:hAnsi="宋体" w:cs="宋体"/>
                <w:sz w:val="24"/>
                <w:szCs w:val="24"/>
              </w:rPr>
              <w:t>招标方式</w:t>
            </w:r>
          </w:p>
        </w:tc>
        <w:tc>
          <w:tcPr>
            <w:tcW w:w="7158" w:type="dxa"/>
            <w:tcBorders>
              <w:top w:val="single" w:color="auto" w:sz="4" w:space="0"/>
              <w:left w:val="nil"/>
              <w:bottom w:val="single" w:color="auto" w:sz="4" w:space="0"/>
              <w:right w:val="single" w:color="auto" w:sz="4" w:space="0"/>
            </w:tcBorders>
            <w:vAlign w:val="center"/>
          </w:tcPr>
          <w:p w14:paraId="2416C37E">
            <w:pPr>
              <w:spacing w:line="480" w:lineRule="exact"/>
              <w:jc w:val="left"/>
              <w:rPr>
                <w:rFonts w:ascii="宋体" w:cs="宋体"/>
                <w:snapToGrid w:val="0"/>
                <w:kern w:val="0"/>
                <w:sz w:val="24"/>
                <w:szCs w:val="24"/>
              </w:rPr>
            </w:pPr>
            <w:r>
              <w:rPr>
                <w:rFonts w:hint="eastAsia" w:cs="宋体" w:asciiTheme="minorEastAsia" w:hAnsiTheme="minorEastAsia" w:eastAsiaTheme="minorEastAsia"/>
                <w:sz w:val="24"/>
                <w:szCs w:val="24"/>
              </w:rPr>
              <w:t>竞争性磋商</w:t>
            </w:r>
          </w:p>
        </w:tc>
      </w:tr>
      <w:tr w14:paraId="39DD431E">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48948D20">
            <w:pPr>
              <w:spacing w:line="480" w:lineRule="exact"/>
              <w:jc w:val="center"/>
              <w:rPr>
                <w:rFonts w:hint="eastAsia" w:ascii="宋体" w:hAnsi="宋体" w:cs="宋体"/>
                <w:sz w:val="24"/>
                <w:szCs w:val="24"/>
              </w:rPr>
            </w:pPr>
            <w:r>
              <w:rPr>
                <w:rFonts w:ascii="宋体" w:hAnsi="宋体" w:cs="宋体"/>
                <w:sz w:val="24"/>
                <w:szCs w:val="24"/>
              </w:rPr>
              <w:t>1.3.3</w:t>
            </w:r>
          </w:p>
        </w:tc>
        <w:tc>
          <w:tcPr>
            <w:tcW w:w="1997" w:type="dxa"/>
            <w:tcBorders>
              <w:top w:val="single" w:color="auto" w:sz="4" w:space="0"/>
              <w:left w:val="nil"/>
              <w:bottom w:val="single" w:color="auto" w:sz="4" w:space="0"/>
              <w:right w:val="single" w:color="auto" w:sz="4" w:space="0"/>
            </w:tcBorders>
            <w:vAlign w:val="center"/>
          </w:tcPr>
          <w:p w14:paraId="05F6E702">
            <w:pPr>
              <w:spacing w:line="480" w:lineRule="exact"/>
              <w:jc w:val="center"/>
              <w:rPr>
                <w:rFonts w:ascii="宋体" w:cs="宋体"/>
                <w:sz w:val="24"/>
                <w:szCs w:val="24"/>
              </w:rPr>
            </w:pPr>
            <w:r>
              <w:rPr>
                <w:rFonts w:hint="eastAsia" w:ascii="宋体" w:hAnsi="宋体" w:cs="宋体"/>
                <w:sz w:val="24"/>
                <w:szCs w:val="24"/>
              </w:rPr>
              <w:t>评标方式</w:t>
            </w:r>
          </w:p>
        </w:tc>
        <w:tc>
          <w:tcPr>
            <w:tcW w:w="7158" w:type="dxa"/>
            <w:tcBorders>
              <w:top w:val="single" w:color="auto" w:sz="4" w:space="0"/>
              <w:left w:val="nil"/>
              <w:bottom w:val="single" w:color="auto" w:sz="4" w:space="0"/>
              <w:right w:val="single" w:color="auto" w:sz="4" w:space="0"/>
            </w:tcBorders>
            <w:vAlign w:val="center"/>
          </w:tcPr>
          <w:p w14:paraId="6C08FE28">
            <w:pPr>
              <w:adjustRightInd w:val="0"/>
              <w:spacing w:line="480" w:lineRule="exact"/>
              <w:textAlignment w:val="baseline"/>
              <w:rPr>
                <w:rFonts w:hint="eastAsia" w:ascii="宋体" w:hAnsi="宋体" w:cs="宋体"/>
                <w:sz w:val="24"/>
                <w:szCs w:val="24"/>
              </w:rPr>
            </w:pPr>
            <w:r>
              <w:rPr>
                <w:rFonts w:hint="eastAsia" w:ascii="宋体" w:hAnsi="宋体" w:cs="宋体"/>
                <w:sz w:val="24"/>
                <w:szCs w:val="24"/>
              </w:rPr>
              <w:t>全流程电子化评标方式</w:t>
            </w:r>
          </w:p>
          <w:p w14:paraId="300B3AD8">
            <w:pPr>
              <w:adjustRightInd w:val="0"/>
              <w:spacing w:line="480" w:lineRule="exact"/>
              <w:textAlignment w:val="baseline"/>
              <w:rPr>
                <w:rFonts w:hint="eastAsia" w:ascii="宋体" w:hAnsi="宋体" w:cs="宋体"/>
                <w:snapToGrid w:val="0"/>
                <w:kern w:val="0"/>
                <w:sz w:val="24"/>
                <w:szCs w:val="24"/>
              </w:rPr>
            </w:pPr>
            <w:r>
              <w:rPr>
                <w:rFonts w:hint="eastAsia" w:ascii="宋体" w:hAnsi="宋体" w:cs="宋体"/>
                <w:sz w:val="24"/>
                <w:szCs w:val="24"/>
              </w:rPr>
              <w:t>采购人在新郑市公共资源交易中心系统中发布电子</w:t>
            </w:r>
            <w:r>
              <w:rPr>
                <w:rFonts w:hint="eastAsia" w:hAnsi="宋体" w:cs="宋体"/>
                <w:sz w:val="24"/>
                <w:szCs w:val="24"/>
              </w:rPr>
              <w:t>竞争性磋商文件</w:t>
            </w:r>
            <w:r>
              <w:rPr>
                <w:rFonts w:hint="eastAsia" w:ascii="宋体" w:hAnsi="宋体" w:cs="宋体"/>
                <w:sz w:val="24"/>
                <w:szCs w:val="24"/>
              </w:rPr>
              <w:t>，供应商在规定的时间内下载电子</w:t>
            </w:r>
            <w:r>
              <w:rPr>
                <w:rFonts w:hint="eastAsia" w:hAnsi="宋体" w:cs="宋体"/>
                <w:sz w:val="24"/>
                <w:szCs w:val="24"/>
              </w:rPr>
              <w:t>竞争性磋商文件</w:t>
            </w:r>
            <w:r>
              <w:rPr>
                <w:rFonts w:hint="eastAsia" w:ascii="宋体" w:hAnsi="宋体" w:cs="宋体"/>
                <w:sz w:val="24"/>
                <w:szCs w:val="24"/>
              </w:rPr>
              <w:t>并在投标截止时间前在系统中上传电子响应文件，开标过程中采购代理机构导入电子招响应文件，开标结束进入评标阶段由磋商小组登录电子评标系统进行评标。</w:t>
            </w:r>
          </w:p>
        </w:tc>
      </w:tr>
      <w:tr w14:paraId="43F5DEA4">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786496C9">
            <w:pPr>
              <w:spacing w:line="480" w:lineRule="exact"/>
              <w:jc w:val="center"/>
              <w:rPr>
                <w:rFonts w:hint="eastAsia" w:ascii="宋体" w:hAnsi="宋体" w:cs="宋体"/>
                <w:sz w:val="24"/>
                <w:szCs w:val="24"/>
              </w:rPr>
            </w:pPr>
            <w:r>
              <w:rPr>
                <w:rFonts w:ascii="宋体" w:hAnsi="宋体" w:cs="宋体"/>
                <w:sz w:val="24"/>
                <w:szCs w:val="24"/>
              </w:rPr>
              <w:t>1.3.4</w:t>
            </w:r>
          </w:p>
        </w:tc>
        <w:tc>
          <w:tcPr>
            <w:tcW w:w="1997" w:type="dxa"/>
            <w:tcBorders>
              <w:top w:val="single" w:color="auto" w:sz="4" w:space="0"/>
              <w:left w:val="nil"/>
              <w:bottom w:val="single" w:color="auto" w:sz="4" w:space="0"/>
              <w:right w:val="single" w:color="auto" w:sz="4" w:space="0"/>
            </w:tcBorders>
            <w:vAlign w:val="center"/>
          </w:tcPr>
          <w:p w14:paraId="45F98266">
            <w:pPr>
              <w:spacing w:line="480" w:lineRule="exact"/>
              <w:jc w:val="center"/>
              <w:rPr>
                <w:rFonts w:ascii="宋体" w:cs="宋体"/>
                <w:color w:val="FF0000"/>
                <w:sz w:val="24"/>
                <w:szCs w:val="24"/>
              </w:rPr>
            </w:pPr>
            <w:r>
              <w:rPr>
                <w:rFonts w:hint="eastAsia" w:ascii="宋体" w:hAnsi="宋体" w:cs="宋体"/>
                <w:color w:val="FF0000"/>
                <w:sz w:val="24"/>
                <w:szCs w:val="24"/>
              </w:rPr>
              <w:t>供货期</w:t>
            </w:r>
          </w:p>
        </w:tc>
        <w:tc>
          <w:tcPr>
            <w:tcW w:w="7158" w:type="dxa"/>
            <w:tcBorders>
              <w:top w:val="single" w:color="auto" w:sz="4" w:space="0"/>
              <w:left w:val="nil"/>
              <w:bottom w:val="single" w:color="auto" w:sz="4" w:space="0"/>
              <w:right w:val="single" w:color="auto" w:sz="4" w:space="0"/>
            </w:tcBorders>
            <w:vAlign w:val="center"/>
          </w:tcPr>
          <w:p w14:paraId="100C53C1">
            <w:pPr>
              <w:spacing w:line="480" w:lineRule="exact"/>
              <w:rPr>
                <w:rFonts w:ascii="宋体" w:cs="宋体"/>
                <w:b/>
                <w:bCs/>
                <w:color w:val="FF0000"/>
                <w:sz w:val="24"/>
                <w:szCs w:val="24"/>
              </w:rPr>
            </w:pPr>
            <w:r>
              <w:rPr>
                <w:rFonts w:hint="eastAsia" w:ascii="宋体" w:hAnsi="宋体" w:cs="宋体"/>
                <w:color w:val="FF0000"/>
                <w:sz w:val="24"/>
                <w:szCs w:val="24"/>
                <w:lang w:val="en-US" w:eastAsia="zh-CN"/>
              </w:rPr>
              <w:t>30</w:t>
            </w:r>
            <w:r>
              <w:rPr>
                <w:rFonts w:hint="eastAsia" w:ascii="宋体" w:hAnsi="宋体" w:cs="宋体"/>
                <w:color w:val="FF0000"/>
                <w:sz w:val="24"/>
                <w:szCs w:val="24"/>
              </w:rPr>
              <w:t>日历天</w:t>
            </w:r>
          </w:p>
        </w:tc>
      </w:tr>
      <w:tr w14:paraId="14F03E6D">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4A6B1703">
            <w:pPr>
              <w:spacing w:line="480" w:lineRule="exact"/>
              <w:jc w:val="center"/>
              <w:rPr>
                <w:rFonts w:hint="eastAsia" w:ascii="宋体" w:hAnsi="宋体" w:cs="宋体"/>
                <w:sz w:val="24"/>
                <w:szCs w:val="24"/>
              </w:rPr>
            </w:pPr>
            <w:r>
              <w:rPr>
                <w:rFonts w:ascii="宋体" w:hAnsi="宋体" w:cs="宋体"/>
                <w:sz w:val="24"/>
                <w:szCs w:val="24"/>
              </w:rPr>
              <w:t>1.3.5</w:t>
            </w:r>
          </w:p>
        </w:tc>
        <w:tc>
          <w:tcPr>
            <w:tcW w:w="1997" w:type="dxa"/>
            <w:tcBorders>
              <w:top w:val="single" w:color="auto" w:sz="4" w:space="0"/>
              <w:left w:val="nil"/>
              <w:bottom w:val="single" w:color="auto" w:sz="4" w:space="0"/>
              <w:right w:val="single" w:color="auto" w:sz="4" w:space="0"/>
            </w:tcBorders>
            <w:vAlign w:val="center"/>
          </w:tcPr>
          <w:p w14:paraId="095EBB57">
            <w:pPr>
              <w:spacing w:line="480" w:lineRule="exact"/>
              <w:jc w:val="center"/>
              <w:rPr>
                <w:rFonts w:ascii="宋体" w:cs="宋体"/>
                <w:color w:val="FF0000"/>
                <w:sz w:val="24"/>
                <w:szCs w:val="24"/>
              </w:rPr>
            </w:pPr>
            <w:r>
              <w:rPr>
                <w:rFonts w:hint="eastAsia" w:ascii="宋体" w:hAnsi="宋体" w:cs="宋体"/>
                <w:color w:val="FF0000"/>
                <w:sz w:val="24"/>
                <w:szCs w:val="24"/>
              </w:rPr>
              <w:t>服务地点</w:t>
            </w:r>
          </w:p>
        </w:tc>
        <w:tc>
          <w:tcPr>
            <w:tcW w:w="7158" w:type="dxa"/>
            <w:tcBorders>
              <w:top w:val="single" w:color="auto" w:sz="4" w:space="0"/>
              <w:left w:val="nil"/>
              <w:bottom w:val="single" w:color="auto" w:sz="4" w:space="0"/>
              <w:right w:val="single" w:color="auto" w:sz="4" w:space="0"/>
            </w:tcBorders>
            <w:vAlign w:val="center"/>
          </w:tcPr>
          <w:p w14:paraId="1245A5A4">
            <w:pPr>
              <w:adjustRightInd w:val="0"/>
              <w:spacing w:line="480" w:lineRule="exact"/>
              <w:textAlignment w:val="baseline"/>
              <w:rPr>
                <w:rFonts w:ascii="宋体" w:cs="宋体"/>
                <w:color w:val="FF0000"/>
                <w:sz w:val="24"/>
                <w:szCs w:val="24"/>
              </w:rPr>
            </w:pPr>
          </w:p>
        </w:tc>
      </w:tr>
      <w:tr w14:paraId="6B27367D">
        <w:tblPrEx>
          <w:tblCellMar>
            <w:top w:w="0" w:type="dxa"/>
            <w:left w:w="108" w:type="dxa"/>
            <w:bottom w:w="0" w:type="dxa"/>
            <w:right w:w="108" w:type="dxa"/>
          </w:tblCellMar>
        </w:tblPrEx>
        <w:trPr>
          <w:trHeight w:val="532" w:hRule="atLeast"/>
        </w:trPr>
        <w:tc>
          <w:tcPr>
            <w:tcW w:w="963" w:type="dxa"/>
            <w:tcBorders>
              <w:top w:val="single" w:color="auto" w:sz="4" w:space="0"/>
              <w:left w:val="single" w:color="auto" w:sz="4" w:space="0"/>
              <w:bottom w:val="single" w:color="auto" w:sz="4" w:space="0"/>
              <w:right w:val="single" w:color="auto" w:sz="4" w:space="0"/>
            </w:tcBorders>
            <w:vAlign w:val="center"/>
          </w:tcPr>
          <w:p w14:paraId="5F9797C3">
            <w:pPr>
              <w:spacing w:line="480" w:lineRule="exact"/>
              <w:jc w:val="center"/>
              <w:rPr>
                <w:rFonts w:hint="eastAsia" w:ascii="宋体" w:hAnsi="宋体" w:cs="宋体"/>
                <w:sz w:val="24"/>
                <w:szCs w:val="24"/>
              </w:rPr>
            </w:pPr>
            <w:r>
              <w:rPr>
                <w:rFonts w:ascii="宋体" w:hAnsi="宋体" w:cs="宋体"/>
                <w:sz w:val="24"/>
                <w:szCs w:val="24"/>
              </w:rPr>
              <w:t>1.3.7</w:t>
            </w:r>
          </w:p>
        </w:tc>
        <w:tc>
          <w:tcPr>
            <w:tcW w:w="1997" w:type="dxa"/>
            <w:tcBorders>
              <w:top w:val="single" w:color="auto" w:sz="4" w:space="0"/>
              <w:left w:val="nil"/>
              <w:bottom w:val="single" w:color="auto" w:sz="4" w:space="0"/>
              <w:right w:val="single" w:color="auto" w:sz="4" w:space="0"/>
            </w:tcBorders>
            <w:vAlign w:val="center"/>
          </w:tcPr>
          <w:p w14:paraId="55A60E92">
            <w:pPr>
              <w:spacing w:line="480" w:lineRule="exact"/>
              <w:jc w:val="center"/>
              <w:rPr>
                <w:rFonts w:ascii="宋体" w:cs="宋体"/>
                <w:sz w:val="24"/>
                <w:szCs w:val="24"/>
              </w:rPr>
            </w:pPr>
            <w:r>
              <w:rPr>
                <w:rFonts w:hint="eastAsia" w:ascii="宋体" w:hAnsi="宋体" w:cs="宋体"/>
                <w:sz w:val="24"/>
                <w:szCs w:val="24"/>
              </w:rPr>
              <w:t>质量要求</w:t>
            </w:r>
          </w:p>
        </w:tc>
        <w:tc>
          <w:tcPr>
            <w:tcW w:w="7158" w:type="dxa"/>
            <w:tcBorders>
              <w:top w:val="single" w:color="auto" w:sz="4" w:space="0"/>
              <w:left w:val="nil"/>
              <w:bottom w:val="single" w:color="auto" w:sz="4" w:space="0"/>
              <w:right w:val="single" w:color="auto" w:sz="4" w:space="0"/>
            </w:tcBorders>
            <w:vAlign w:val="center"/>
          </w:tcPr>
          <w:p w14:paraId="5E89E51B">
            <w:pPr>
              <w:spacing w:line="480" w:lineRule="exact"/>
              <w:jc w:val="left"/>
              <w:rPr>
                <w:rFonts w:ascii="宋体" w:cs="宋体"/>
                <w:snapToGrid w:val="0"/>
                <w:kern w:val="0"/>
                <w:sz w:val="24"/>
                <w:szCs w:val="24"/>
              </w:rPr>
            </w:pPr>
            <w:r>
              <w:rPr>
                <w:rFonts w:hint="eastAsia" w:cs="宋体" w:asciiTheme="minorEastAsia" w:hAnsiTheme="minorEastAsia" w:eastAsiaTheme="minorEastAsia"/>
                <w:sz w:val="24"/>
                <w:szCs w:val="24"/>
              </w:rPr>
              <w:t>合格，满足采购人要求</w:t>
            </w:r>
          </w:p>
        </w:tc>
      </w:tr>
      <w:tr w14:paraId="7C668BEF">
        <w:tblPrEx>
          <w:tblCellMar>
            <w:top w:w="0" w:type="dxa"/>
            <w:left w:w="108" w:type="dxa"/>
            <w:bottom w:w="0" w:type="dxa"/>
            <w:right w:w="108" w:type="dxa"/>
          </w:tblCellMar>
        </w:tblPrEx>
        <w:trPr>
          <w:trHeight w:val="436" w:hRule="atLeast"/>
        </w:trPr>
        <w:tc>
          <w:tcPr>
            <w:tcW w:w="963" w:type="dxa"/>
            <w:tcBorders>
              <w:top w:val="single" w:color="auto" w:sz="4" w:space="0"/>
              <w:left w:val="single" w:color="auto" w:sz="4" w:space="0"/>
              <w:bottom w:val="single" w:color="auto" w:sz="4" w:space="0"/>
              <w:right w:val="single" w:color="auto" w:sz="4" w:space="0"/>
            </w:tcBorders>
            <w:vAlign w:val="center"/>
          </w:tcPr>
          <w:p w14:paraId="5A625903">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1.4.1</w:t>
            </w:r>
          </w:p>
        </w:tc>
        <w:tc>
          <w:tcPr>
            <w:tcW w:w="1997" w:type="dxa"/>
            <w:tcBorders>
              <w:top w:val="single" w:color="auto" w:sz="4" w:space="0"/>
              <w:left w:val="nil"/>
              <w:bottom w:val="single" w:color="auto" w:sz="4" w:space="0"/>
              <w:right w:val="single" w:color="auto" w:sz="4" w:space="0"/>
            </w:tcBorders>
            <w:vAlign w:val="center"/>
          </w:tcPr>
          <w:p w14:paraId="09FDAED2">
            <w:pPr>
              <w:adjustRightInd w:val="0"/>
              <w:spacing w:line="480" w:lineRule="exact"/>
              <w:jc w:val="center"/>
              <w:textAlignment w:val="baseline"/>
              <w:rPr>
                <w:rFonts w:ascii="宋体" w:cs="宋体"/>
                <w:sz w:val="24"/>
                <w:szCs w:val="24"/>
              </w:rPr>
            </w:pPr>
            <w:r>
              <w:rPr>
                <w:rFonts w:hint="eastAsia" w:ascii="宋体" w:hAnsi="宋体" w:cs="宋体"/>
                <w:sz w:val="24"/>
                <w:szCs w:val="24"/>
              </w:rPr>
              <w:t>供应商资格条件</w:t>
            </w:r>
          </w:p>
        </w:tc>
        <w:tc>
          <w:tcPr>
            <w:tcW w:w="7158" w:type="dxa"/>
            <w:tcBorders>
              <w:top w:val="single" w:color="auto" w:sz="4" w:space="0"/>
              <w:left w:val="nil"/>
              <w:bottom w:val="single" w:color="auto" w:sz="4" w:space="0"/>
              <w:right w:val="single" w:color="auto" w:sz="4" w:space="0"/>
            </w:tcBorders>
            <w:vAlign w:val="center"/>
          </w:tcPr>
          <w:p w14:paraId="642862E3">
            <w:pPr>
              <w:widowControl/>
              <w:spacing w:line="480" w:lineRule="exact"/>
              <w:jc w:val="left"/>
              <w:rPr>
                <w:rFonts w:ascii="宋体" w:cs="宋体"/>
                <w:sz w:val="24"/>
                <w:szCs w:val="24"/>
              </w:rPr>
            </w:pPr>
            <w:r>
              <w:rPr>
                <w:rFonts w:hint="eastAsia" w:ascii="宋体" w:hAnsi="宋体" w:cs="宋体"/>
                <w:sz w:val="24"/>
                <w:szCs w:val="24"/>
              </w:rPr>
              <w:t xml:space="preserve">见【第一章 </w:t>
            </w:r>
            <w:r>
              <w:rPr>
                <w:rFonts w:hint="eastAsia" w:cs="宋体" w:asciiTheme="minorEastAsia" w:hAnsiTheme="minorEastAsia" w:eastAsiaTheme="minorEastAsia"/>
                <w:sz w:val="24"/>
                <w:szCs w:val="24"/>
              </w:rPr>
              <w:t>竞争性磋商</w:t>
            </w:r>
            <w:r>
              <w:rPr>
                <w:rFonts w:hint="eastAsia" w:ascii="宋体" w:hAnsi="宋体" w:cs="宋体"/>
                <w:sz w:val="24"/>
                <w:szCs w:val="24"/>
              </w:rPr>
              <w:t>公告】及【第三章 资格审查】</w:t>
            </w:r>
          </w:p>
        </w:tc>
      </w:tr>
      <w:tr w14:paraId="33C0530E">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05133821">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1.4.2</w:t>
            </w:r>
          </w:p>
        </w:tc>
        <w:tc>
          <w:tcPr>
            <w:tcW w:w="1997" w:type="dxa"/>
            <w:tcBorders>
              <w:top w:val="single" w:color="auto" w:sz="4" w:space="0"/>
              <w:left w:val="nil"/>
              <w:bottom w:val="single" w:color="auto" w:sz="4" w:space="0"/>
              <w:right w:val="single" w:color="auto" w:sz="4" w:space="0"/>
            </w:tcBorders>
            <w:vAlign w:val="center"/>
          </w:tcPr>
          <w:p w14:paraId="4D5CF778">
            <w:pPr>
              <w:adjustRightInd w:val="0"/>
              <w:spacing w:line="480" w:lineRule="exact"/>
              <w:jc w:val="center"/>
              <w:textAlignment w:val="baseline"/>
              <w:rPr>
                <w:rFonts w:ascii="宋体" w:cs="宋体"/>
                <w:sz w:val="24"/>
                <w:szCs w:val="24"/>
              </w:rPr>
            </w:pPr>
            <w:r>
              <w:rPr>
                <w:rFonts w:hint="eastAsia" w:ascii="宋体" w:hAnsi="宋体" w:cs="宋体"/>
                <w:sz w:val="24"/>
                <w:szCs w:val="24"/>
              </w:rPr>
              <w:t>是否接受联合体投标</w:t>
            </w:r>
          </w:p>
        </w:tc>
        <w:tc>
          <w:tcPr>
            <w:tcW w:w="7158" w:type="dxa"/>
            <w:tcBorders>
              <w:top w:val="single" w:color="auto" w:sz="4" w:space="0"/>
              <w:left w:val="nil"/>
              <w:bottom w:val="single" w:color="auto" w:sz="4" w:space="0"/>
              <w:right w:val="single" w:color="auto" w:sz="4" w:space="0"/>
            </w:tcBorders>
            <w:vAlign w:val="center"/>
          </w:tcPr>
          <w:p w14:paraId="028E9A41">
            <w:pPr>
              <w:adjustRightInd w:val="0"/>
              <w:spacing w:line="480" w:lineRule="exact"/>
              <w:textAlignment w:val="baseline"/>
              <w:rPr>
                <w:rFonts w:ascii="宋体" w:cs="宋体"/>
                <w:sz w:val="24"/>
                <w:szCs w:val="24"/>
              </w:rPr>
            </w:pPr>
            <w:r>
              <w:rPr>
                <w:rFonts w:hint="eastAsia" w:ascii="宋体" w:hAnsi="宋体" w:cs="宋体"/>
                <w:sz w:val="24"/>
                <w:szCs w:val="24"/>
              </w:rPr>
              <w:t>√不接受</w:t>
            </w:r>
          </w:p>
        </w:tc>
      </w:tr>
      <w:tr w14:paraId="12A628B0">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743F16B4">
            <w:pPr>
              <w:spacing w:line="360" w:lineRule="auto"/>
              <w:jc w:val="center"/>
              <w:rPr>
                <w:rFonts w:hint="eastAsia" w:ascii="宋体" w:hAnsi="宋体" w:cs="宋体"/>
                <w:spacing w:val="20"/>
                <w:sz w:val="24"/>
              </w:rPr>
            </w:pPr>
            <w:r>
              <w:rPr>
                <w:rFonts w:hint="eastAsia" w:ascii="宋体" w:hAnsi="宋体" w:cs="宋体"/>
                <w:spacing w:val="20"/>
                <w:sz w:val="24"/>
              </w:rPr>
              <w:t>1</w:t>
            </w:r>
            <w:r>
              <w:rPr>
                <w:rFonts w:ascii="宋体" w:hAnsi="宋体" w:cs="宋体"/>
                <w:spacing w:val="20"/>
                <w:sz w:val="24"/>
              </w:rPr>
              <w:t>.4.6</w:t>
            </w:r>
          </w:p>
        </w:tc>
        <w:tc>
          <w:tcPr>
            <w:tcW w:w="1997" w:type="dxa"/>
            <w:tcBorders>
              <w:top w:val="single" w:color="auto" w:sz="4" w:space="0"/>
              <w:left w:val="nil"/>
              <w:bottom w:val="single" w:color="auto" w:sz="4" w:space="0"/>
              <w:right w:val="single" w:color="auto" w:sz="4" w:space="0"/>
            </w:tcBorders>
            <w:vAlign w:val="center"/>
          </w:tcPr>
          <w:p w14:paraId="3356E756">
            <w:pPr>
              <w:spacing w:line="360" w:lineRule="auto"/>
              <w:jc w:val="center"/>
              <w:rPr>
                <w:rFonts w:hint="eastAsia" w:ascii="宋体" w:hAnsi="宋体" w:cs="宋体"/>
                <w:sz w:val="24"/>
              </w:rPr>
            </w:pPr>
            <w:r>
              <w:rPr>
                <w:rFonts w:hint="eastAsia" w:ascii="宋体" w:hAnsi="宋体" w:cs="宋体"/>
                <w:sz w:val="24"/>
              </w:rPr>
              <w:t>是否专门面向小微企业</w:t>
            </w:r>
          </w:p>
        </w:tc>
        <w:tc>
          <w:tcPr>
            <w:tcW w:w="7158" w:type="dxa"/>
            <w:tcBorders>
              <w:top w:val="single" w:color="auto" w:sz="4" w:space="0"/>
              <w:left w:val="nil"/>
              <w:bottom w:val="single" w:color="auto" w:sz="4" w:space="0"/>
              <w:right w:val="single" w:color="auto" w:sz="4" w:space="0"/>
            </w:tcBorders>
            <w:vAlign w:val="center"/>
          </w:tcPr>
          <w:p w14:paraId="27F5901B">
            <w:pPr>
              <w:spacing w:line="360" w:lineRule="auto"/>
              <w:jc w:val="left"/>
              <w:rPr>
                <w:rFonts w:hint="eastAsia" w:ascii="宋体" w:hAnsi="宋体" w:cs="宋体"/>
                <w:snapToGrid w:val="0"/>
                <w:kern w:val="0"/>
                <w:sz w:val="24"/>
              </w:rPr>
            </w:pPr>
            <w:r>
              <w:rPr>
                <w:rFonts w:hint="eastAsia" w:ascii="宋体" w:hAnsi="宋体" w:cs="宋体"/>
                <w:snapToGrid w:val="0"/>
                <w:kern w:val="0"/>
                <w:sz w:val="24"/>
              </w:rPr>
              <w:t>否</w:t>
            </w:r>
          </w:p>
        </w:tc>
      </w:tr>
      <w:tr w14:paraId="56AA5A75">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0B73A95A">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1.9.1</w:t>
            </w:r>
          </w:p>
        </w:tc>
        <w:tc>
          <w:tcPr>
            <w:tcW w:w="1997" w:type="dxa"/>
            <w:tcBorders>
              <w:top w:val="single" w:color="auto" w:sz="4" w:space="0"/>
              <w:left w:val="nil"/>
              <w:bottom w:val="single" w:color="auto" w:sz="4" w:space="0"/>
              <w:right w:val="single" w:color="auto" w:sz="4" w:space="0"/>
            </w:tcBorders>
            <w:vAlign w:val="center"/>
          </w:tcPr>
          <w:p w14:paraId="6F34AB1F">
            <w:pPr>
              <w:adjustRightInd w:val="0"/>
              <w:spacing w:line="480" w:lineRule="exact"/>
              <w:jc w:val="center"/>
              <w:textAlignment w:val="baseline"/>
              <w:rPr>
                <w:rFonts w:ascii="宋体" w:cs="宋体"/>
                <w:sz w:val="24"/>
                <w:szCs w:val="24"/>
              </w:rPr>
            </w:pPr>
            <w:r>
              <w:rPr>
                <w:rFonts w:hint="eastAsia" w:ascii="宋体" w:hAnsi="宋体" w:cs="宋体"/>
                <w:sz w:val="24"/>
                <w:szCs w:val="24"/>
              </w:rPr>
              <w:t>踏勘现场</w:t>
            </w:r>
          </w:p>
        </w:tc>
        <w:tc>
          <w:tcPr>
            <w:tcW w:w="7158" w:type="dxa"/>
            <w:tcBorders>
              <w:top w:val="single" w:color="auto" w:sz="4" w:space="0"/>
              <w:left w:val="nil"/>
              <w:bottom w:val="single" w:color="auto" w:sz="4" w:space="0"/>
              <w:right w:val="single" w:color="auto" w:sz="4" w:space="0"/>
            </w:tcBorders>
            <w:vAlign w:val="center"/>
          </w:tcPr>
          <w:p w14:paraId="5295C4C3">
            <w:pPr>
              <w:adjustRightInd w:val="0"/>
              <w:spacing w:line="480" w:lineRule="exact"/>
              <w:textAlignment w:val="baseline"/>
              <w:rPr>
                <w:rFonts w:ascii="宋体" w:cs="宋体"/>
                <w:sz w:val="24"/>
                <w:szCs w:val="24"/>
              </w:rPr>
            </w:pPr>
            <w:r>
              <w:rPr>
                <w:rFonts w:hint="eastAsia" w:ascii="宋体" w:hAnsi="宋体" w:cs="宋体"/>
                <w:sz w:val="24"/>
                <w:szCs w:val="24"/>
              </w:rPr>
              <w:t>√不组织</w:t>
            </w:r>
          </w:p>
        </w:tc>
      </w:tr>
      <w:tr w14:paraId="36661E2B">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605D30BD">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1.10.1</w:t>
            </w:r>
          </w:p>
        </w:tc>
        <w:tc>
          <w:tcPr>
            <w:tcW w:w="1997" w:type="dxa"/>
            <w:tcBorders>
              <w:top w:val="single" w:color="auto" w:sz="4" w:space="0"/>
              <w:left w:val="nil"/>
              <w:bottom w:val="single" w:color="auto" w:sz="4" w:space="0"/>
              <w:right w:val="single" w:color="auto" w:sz="4" w:space="0"/>
            </w:tcBorders>
            <w:vAlign w:val="center"/>
          </w:tcPr>
          <w:p w14:paraId="7223B4A0">
            <w:pPr>
              <w:adjustRightInd w:val="0"/>
              <w:spacing w:line="480" w:lineRule="exact"/>
              <w:jc w:val="center"/>
              <w:textAlignment w:val="baseline"/>
              <w:rPr>
                <w:rFonts w:ascii="宋体" w:cs="宋体"/>
                <w:sz w:val="24"/>
                <w:szCs w:val="24"/>
              </w:rPr>
            </w:pPr>
            <w:r>
              <w:rPr>
                <w:rFonts w:hint="eastAsia" w:ascii="宋体" w:hAnsi="宋体" w:cs="宋体"/>
                <w:sz w:val="24"/>
                <w:szCs w:val="24"/>
              </w:rPr>
              <w:t>投标预备会</w:t>
            </w:r>
          </w:p>
        </w:tc>
        <w:tc>
          <w:tcPr>
            <w:tcW w:w="7158" w:type="dxa"/>
            <w:tcBorders>
              <w:top w:val="single" w:color="auto" w:sz="4" w:space="0"/>
              <w:left w:val="nil"/>
              <w:bottom w:val="single" w:color="auto" w:sz="4" w:space="0"/>
              <w:right w:val="single" w:color="auto" w:sz="4" w:space="0"/>
            </w:tcBorders>
            <w:vAlign w:val="center"/>
          </w:tcPr>
          <w:p w14:paraId="5ED54287">
            <w:pPr>
              <w:adjustRightInd w:val="0"/>
              <w:spacing w:line="480" w:lineRule="exact"/>
              <w:textAlignment w:val="baseline"/>
              <w:rPr>
                <w:rFonts w:ascii="宋体" w:cs="宋体"/>
                <w:sz w:val="24"/>
                <w:szCs w:val="24"/>
              </w:rPr>
            </w:pPr>
            <w:r>
              <w:rPr>
                <w:rFonts w:hint="eastAsia" w:ascii="宋体" w:hAnsi="宋体" w:cs="宋体"/>
                <w:sz w:val="24"/>
                <w:szCs w:val="24"/>
              </w:rPr>
              <w:t>√不召开</w:t>
            </w:r>
          </w:p>
        </w:tc>
      </w:tr>
      <w:tr w14:paraId="5F0F027B">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06A02B65">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1.10.2</w:t>
            </w:r>
          </w:p>
        </w:tc>
        <w:tc>
          <w:tcPr>
            <w:tcW w:w="1997" w:type="dxa"/>
            <w:tcBorders>
              <w:top w:val="single" w:color="auto" w:sz="4" w:space="0"/>
              <w:left w:val="nil"/>
              <w:bottom w:val="single" w:color="auto" w:sz="4" w:space="0"/>
              <w:right w:val="single" w:color="auto" w:sz="4" w:space="0"/>
            </w:tcBorders>
            <w:vAlign w:val="center"/>
          </w:tcPr>
          <w:p w14:paraId="49AD7804">
            <w:pPr>
              <w:adjustRightInd w:val="0"/>
              <w:spacing w:line="480" w:lineRule="exact"/>
              <w:jc w:val="center"/>
              <w:textAlignment w:val="baseline"/>
              <w:rPr>
                <w:rFonts w:ascii="宋体" w:cs="宋体"/>
                <w:sz w:val="24"/>
                <w:szCs w:val="24"/>
              </w:rPr>
            </w:pPr>
            <w:r>
              <w:rPr>
                <w:rFonts w:hint="eastAsia" w:ascii="宋体" w:hAnsi="宋体" w:cs="宋体"/>
                <w:sz w:val="24"/>
                <w:szCs w:val="24"/>
              </w:rPr>
              <w:t>供应商提出问题的截止时间</w:t>
            </w:r>
          </w:p>
        </w:tc>
        <w:tc>
          <w:tcPr>
            <w:tcW w:w="7158" w:type="dxa"/>
            <w:tcBorders>
              <w:top w:val="single" w:color="auto" w:sz="4" w:space="0"/>
              <w:left w:val="nil"/>
              <w:bottom w:val="single" w:color="auto" w:sz="4" w:space="0"/>
              <w:right w:val="single" w:color="auto" w:sz="4" w:space="0"/>
            </w:tcBorders>
            <w:vAlign w:val="center"/>
          </w:tcPr>
          <w:p w14:paraId="1EE1FF62">
            <w:pPr>
              <w:adjustRightInd w:val="0"/>
              <w:spacing w:line="480" w:lineRule="exact"/>
              <w:textAlignment w:val="baseline"/>
              <w:rPr>
                <w:rFonts w:ascii="宋体" w:cs="宋体"/>
                <w:sz w:val="24"/>
                <w:szCs w:val="24"/>
              </w:rPr>
            </w:pPr>
            <w:r>
              <w:rPr>
                <w:rFonts w:hint="eastAsia" w:ascii="宋体" w:hAnsi="宋体" w:cs="宋体"/>
                <w:sz w:val="24"/>
                <w:szCs w:val="24"/>
              </w:rPr>
              <w:t>递交响应文件截止之日</w:t>
            </w:r>
            <w:r>
              <w:rPr>
                <w:rFonts w:ascii="宋体" w:hAnsi="宋体" w:cs="宋体"/>
                <w:sz w:val="24"/>
                <w:szCs w:val="24"/>
                <w:u w:val="single"/>
              </w:rPr>
              <w:t xml:space="preserve"> </w:t>
            </w:r>
            <w:r>
              <w:rPr>
                <w:rFonts w:hint="eastAsia" w:ascii="宋体" w:hAnsi="宋体" w:cs="宋体"/>
                <w:sz w:val="24"/>
                <w:szCs w:val="24"/>
                <w:u w:val="single"/>
              </w:rPr>
              <w:t>5</w:t>
            </w:r>
            <w:r>
              <w:rPr>
                <w:rFonts w:hint="eastAsia" w:ascii="宋体" w:hAnsi="宋体" w:cs="宋体"/>
                <w:sz w:val="24"/>
                <w:szCs w:val="24"/>
              </w:rPr>
              <w:t>天前，采购人收到异议后</w:t>
            </w:r>
            <w:r>
              <w:rPr>
                <w:rFonts w:ascii="宋体" w:hAnsi="宋体" w:cs="宋体"/>
                <w:sz w:val="24"/>
                <w:szCs w:val="24"/>
              </w:rPr>
              <w:t>3</w:t>
            </w:r>
            <w:r>
              <w:rPr>
                <w:rFonts w:hint="eastAsia" w:ascii="宋体" w:hAnsi="宋体" w:cs="宋体"/>
                <w:sz w:val="24"/>
                <w:szCs w:val="24"/>
              </w:rPr>
              <w:t>日内做出答复。</w:t>
            </w:r>
          </w:p>
        </w:tc>
      </w:tr>
      <w:tr w14:paraId="3561EF51">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5DDF0525">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1.10.3</w:t>
            </w:r>
          </w:p>
        </w:tc>
        <w:tc>
          <w:tcPr>
            <w:tcW w:w="1997" w:type="dxa"/>
            <w:tcBorders>
              <w:top w:val="single" w:color="auto" w:sz="4" w:space="0"/>
              <w:left w:val="nil"/>
              <w:bottom w:val="single" w:color="auto" w:sz="4" w:space="0"/>
              <w:right w:val="single" w:color="auto" w:sz="4" w:space="0"/>
            </w:tcBorders>
            <w:vAlign w:val="center"/>
          </w:tcPr>
          <w:p w14:paraId="4FD53BD3">
            <w:pPr>
              <w:adjustRightInd w:val="0"/>
              <w:spacing w:line="480" w:lineRule="exact"/>
              <w:jc w:val="center"/>
              <w:textAlignment w:val="baseline"/>
              <w:rPr>
                <w:rFonts w:ascii="宋体" w:cs="宋体"/>
                <w:sz w:val="24"/>
                <w:szCs w:val="24"/>
              </w:rPr>
            </w:pPr>
            <w:r>
              <w:rPr>
                <w:rFonts w:hint="eastAsia" w:ascii="宋体" w:hAnsi="宋体" w:cs="宋体"/>
                <w:sz w:val="24"/>
                <w:szCs w:val="24"/>
              </w:rPr>
              <w:t>采购人书面澄清的时间</w:t>
            </w:r>
          </w:p>
        </w:tc>
        <w:tc>
          <w:tcPr>
            <w:tcW w:w="7158" w:type="dxa"/>
            <w:tcBorders>
              <w:top w:val="single" w:color="auto" w:sz="4" w:space="0"/>
              <w:left w:val="nil"/>
              <w:bottom w:val="single" w:color="auto" w:sz="4" w:space="0"/>
              <w:right w:val="single" w:color="auto" w:sz="4" w:space="0"/>
            </w:tcBorders>
            <w:vAlign w:val="center"/>
          </w:tcPr>
          <w:p w14:paraId="4264F042">
            <w:pPr>
              <w:adjustRightInd w:val="0"/>
              <w:spacing w:line="480" w:lineRule="exact"/>
              <w:textAlignment w:val="baseline"/>
              <w:rPr>
                <w:rFonts w:ascii="宋体" w:cs="宋体"/>
                <w:sz w:val="24"/>
                <w:szCs w:val="24"/>
              </w:rPr>
            </w:pPr>
            <w:r>
              <w:rPr>
                <w:rFonts w:hint="eastAsia" w:ascii="宋体" w:hAnsi="宋体" w:cs="宋体"/>
                <w:sz w:val="24"/>
                <w:szCs w:val="24"/>
              </w:rPr>
              <w:t>递交响应文件截止之日</w:t>
            </w:r>
            <w:r>
              <w:rPr>
                <w:rFonts w:hint="eastAsia" w:ascii="宋体" w:hAnsi="宋体" w:cs="宋体"/>
                <w:sz w:val="24"/>
                <w:szCs w:val="24"/>
                <w:u w:val="single"/>
              </w:rPr>
              <w:t>5</w:t>
            </w:r>
            <w:r>
              <w:rPr>
                <w:rFonts w:hint="eastAsia" w:ascii="宋体" w:hAnsi="宋体" w:cs="宋体"/>
                <w:sz w:val="24"/>
                <w:szCs w:val="24"/>
              </w:rPr>
              <w:t>天前</w:t>
            </w:r>
          </w:p>
        </w:tc>
      </w:tr>
      <w:tr w14:paraId="5B2760B5">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0926BA04">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1.11</w:t>
            </w:r>
          </w:p>
        </w:tc>
        <w:tc>
          <w:tcPr>
            <w:tcW w:w="1997" w:type="dxa"/>
            <w:tcBorders>
              <w:top w:val="single" w:color="auto" w:sz="4" w:space="0"/>
              <w:left w:val="nil"/>
              <w:bottom w:val="single" w:color="auto" w:sz="4" w:space="0"/>
              <w:right w:val="single" w:color="auto" w:sz="4" w:space="0"/>
            </w:tcBorders>
            <w:vAlign w:val="center"/>
          </w:tcPr>
          <w:p w14:paraId="2DBAD8C9">
            <w:pPr>
              <w:adjustRightInd w:val="0"/>
              <w:spacing w:line="480" w:lineRule="exact"/>
              <w:jc w:val="center"/>
              <w:textAlignment w:val="baseline"/>
              <w:rPr>
                <w:rFonts w:ascii="宋体" w:cs="宋体"/>
                <w:sz w:val="24"/>
                <w:szCs w:val="24"/>
              </w:rPr>
            </w:pPr>
            <w:r>
              <w:rPr>
                <w:rFonts w:hint="eastAsia" w:ascii="宋体" w:hAnsi="宋体" w:cs="宋体"/>
                <w:sz w:val="24"/>
                <w:szCs w:val="24"/>
              </w:rPr>
              <w:t>分包</w:t>
            </w:r>
          </w:p>
        </w:tc>
        <w:tc>
          <w:tcPr>
            <w:tcW w:w="7158" w:type="dxa"/>
            <w:tcBorders>
              <w:top w:val="single" w:color="auto" w:sz="4" w:space="0"/>
              <w:left w:val="nil"/>
              <w:bottom w:val="single" w:color="auto" w:sz="4" w:space="0"/>
              <w:right w:val="single" w:color="auto" w:sz="4" w:space="0"/>
            </w:tcBorders>
            <w:vAlign w:val="center"/>
          </w:tcPr>
          <w:p w14:paraId="741B6CBC">
            <w:pPr>
              <w:adjustRightInd w:val="0"/>
              <w:spacing w:line="480" w:lineRule="exact"/>
              <w:textAlignment w:val="baseline"/>
              <w:rPr>
                <w:rFonts w:ascii="宋体" w:cs="宋体"/>
                <w:sz w:val="24"/>
                <w:szCs w:val="24"/>
              </w:rPr>
            </w:pPr>
            <w:r>
              <w:rPr>
                <w:rFonts w:hint="eastAsia" w:ascii="宋体" w:hAnsi="宋体" w:cs="宋体"/>
                <w:sz w:val="24"/>
                <w:szCs w:val="24"/>
              </w:rPr>
              <w:t>不允许违法分包</w:t>
            </w:r>
          </w:p>
        </w:tc>
      </w:tr>
      <w:tr w14:paraId="0880F107">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10B5D5B3">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2.1</w:t>
            </w:r>
          </w:p>
        </w:tc>
        <w:tc>
          <w:tcPr>
            <w:tcW w:w="1997" w:type="dxa"/>
            <w:tcBorders>
              <w:top w:val="single" w:color="auto" w:sz="4" w:space="0"/>
              <w:left w:val="nil"/>
              <w:bottom w:val="single" w:color="auto" w:sz="4" w:space="0"/>
              <w:right w:val="single" w:color="auto" w:sz="4" w:space="0"/>
            </w:tcBorders>
            <w:vAlign w:val="center"/>
          </w:tcPr>
          <w:p w14:paraId="2AD3F49E">
            <w:pPr>
              <w:adjustRightInd w:val="0"/>
              <w:spacing w:line="480" w:lineRule="exact"/>
              <w:jc w:val="center"/>
              <w:textAlignment w:val="baseline"/>
              <w:rPr>
                <w:rFonts w:ascii="宋体" w:cs="宋体"/>
                <w:sz w:val="24"/>
                <w:szCs w:val="24"/>
              </w:rPr>
            </w:pPr>
            <w:r>
              <w:rPr>
                <w:rFonts w:hint="eastAsia" w:ascii="宋体" w:hAnsi="宋体" w:cs="宋体"/>
                <w:sz w:val="24"/>
                <w:szCs w:val="24"/>
              </w:rPr>
              <w:t>构成</w:t>
            </w:r>
            <w:r>
              <w:rPr>
                <w:rFonts w:hint="eastAsia" w:hAnsi="宋体" w:cs="宋体"/>
                <w:sz w:val="24"/>
                <w:szCs w:val="24"/>
              </w:rPr>
              <w:t>竞争性磋商文件</w:t>
            </w:r>
            <w:r>
              <w:rPr>
                <w:rFonts w:hint="eastAsia" w:ascii="宋体" w:hAnsi="宋体" w:cs="宋体"/>
                <w:sz w:val="24"/>
                <w:szCs w:val="24"/>
              </w:rPr>
              <w:t>的其他材料</w:t>
            </w:r>
          </w:p>
        </w:tc>
        <w:tc>
          <w:tcPr>
            <w:tcW w:w="7158" w:type="dxa"/>
            <w:tcBorders>
              <w:top w:val="single" w:color="auto" w:sz="4" w:space="0"/>
              <w:left w:val="nil"/>
              <w:bottom w:val="single" w:color="auto" w:sz="4" w:space="0"/>
              <w:right w:val="single" w:color="auto" w:sz="4" w:space="0"/>
            </w:tcBorders>
            <w:vAlign w:val="center"/>
          </w:tcPr>
          <w:p w14:paraId="205C1AE8">
            <w:pPr>
              <w:spacing w:line="480" w:lineRule="exact"/>
              <w:rPr>
                <w:rFonts w:ascii="宋体" w:cs="宋体"/>
                <w:sz w:val="24"/>
                <w:szCs w:val="24"/>
              </w:rPr>
            </w:pPr>
            <w:r>
              <w:rPr>
                <w:rFonts w:hint="eastAsia" w:ascii="宋体" w:hAnsi="宋体" w:cs="宋体"/>
                <w:spacing w:val="-6"/>
                <w:sz w:val="24"/>
                <w:szCs w:val="24"/>
              </w:rPr>
              <w:t>解答、澄清、修改与补充等书面通知</w:t>
            </w:r>
            <w:r>
              <w:rPr>
                <w:rFonts w:hint="eastAsia" w:ascii="宋体" w:hAnsi="宋体" w:cs="宋体"/>
                <w:sz w:val="24"/>
                <w:szCs w:val="24"/>
              </w:rPr>
              <w:t>，以及采购人在招标期间发出的有编号的补遗书和其它有效正式函件等均是</w:t>
            </w:r>
            <w:r>
              <w:rPr>
                <w:rFonts w:hint="eastAsia" w:hAnsi="宋体" w:cs="宋体"/>
                <w:sz w:val="24"/>
                <w:szCs w:val="24"/>
              </w:rPr>
              <w:t>竞争性磋商文件</w:t>
            </w:r>
            <w:r>
              <w:rPr>
                <w:rFonts w:hint="eastAsia" w:ascii="宋体" w:hAnsi="宋体" w:cs="宋体"/>
                <w:sz w:val="24"/>
                <w:szCs w:val="24"/>
              </w:rPr>
              <w:t>的组成部分。</w:t>
            </w:r>
          </w:p>
        </w:tc>
      </w:tr>
      <w:tr w14:paraId="3BD1CEE0">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55AB5C9A">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2.1.1</w:t>
            </w:r>
          </w:p>
        </w:tc>
        <w:tc>
          <w:tcPr>
            <w:tcW w:w="1997" w:type="dxa"/>
            <w:tcBorders>
              <w:top w:val="single" w:color="auto" w:sz="4" w:space="0"/>
              <w:left w:val="nil"/>
              <w:bottom w:val="single" w:color="auto" w:sz="4" w:space="0"/>
              <w:right w:val="single" w:color="auto" w:sz="4" w:space="0"/>
            </w:tcBorders>
            <w:vAlign w:val="center"/>
          </w:tcPr>
          <w:p w14:paraId="2A0C6F97">
            <w:pPr>
              <w:spacing w:line="480" w:lineRule="exact"/>
              <w:jc w:val="center"/>
              <w:rPr>
                <w:rFonts w:hint="eastAsia" w:ascii="宋体" w:hAnsi="宋体" w:cs="宋体"/>
                <w:sz w:val="24"/>
                <w:szCs w:val="24"/>
              </w:rPr>
            </w:pPr>
            <w:r>
              <w:rPr>
                <w:rFonts w:hint="eastAsia" w:ascii="宋体" w:hAnsi="宋体" w:cs="宋体"/>
                <w:sz w:val="24"/>
                <w:szCs w:val="24"/>
              </w:rPr>
              <w:t>投标截止时间</w:t>
            </w:r>
          </w:p>
        </w:tc>
        <w:tc>
          <w:tcPr>
            <w:tcW w:w="7158" w:type="dxa"/>
            <w:tcBorders>
              <w:top w:val="single" w:color="auto" w:sz="4" w:space="0"/>
              <w:left w:val="nil"/>
              <w:bottom w:val="single" w:color="auto" w:sz="4" w:space="0"/>
              <w:right w:val="single" w:color="auto" w:sz="4" w:space="0"/>
            </w:tcBorders>
            <w:vAlign w:val="center"/>
          </w:tcPr>
          <w:p w14:paraId="3A21C00F">
            <w:pPr>
              <w:autoSpaceDE w:val="0"/>
              <w:adjustRightInd w:val="0"/>
              <w:spacing w:line="480" w:lineRule="exact"/>
              <w:textAlignment w:val="baseline"/>
              <w:rPr>
                <w:rFonts w:hint="eastAsia" w:ascii="宋体" w:hAnsi="宋体" w:cs="宋体"/>
                <w:spacing w:val="-6"/>
                <w:sz w:val="24"/>
                <w:szCs w:val="24"/>
              </w:rPr>
            </w:pPr>
            <w:r>
              <w:rPr>
                <w:rFonts w:ascii="宋体" w:hAnsi="宋体" w:cs="宋体"/>
                <w:sz w:val="24"/>
                <w:szCs w:val="24"/>
              </w:rPr>
              <w:t xml:space="preserve">见【第一章 </w:t>
            </w:r>
            <w:r>
              <w:rPr>
                <w:rFonts w:hint="eastAsia" w:cs="宋体" w:asciiTheme="minorEastAsia" w:hAnsiTheme="minorEastAsia" w:eastAsiaTheme="minorEastAsia"/>
                <w:sz w:val="24"/>
                <w:szCs w:val="24"/>
              </w:rPr>
              <w:t>竞争性磋商</w:t>
            </w:r>
            <w:r>
              <w:rPr>
                <w:rFonts w:ascii="宋体" w:hAnsi="宋体" w:cs="宋体"/>
                <w:sz w:val="24"/>
                <w:szCs w:val="24"/>
              </w:rPr>
              <w:t>公告】</w:t>
            </w:r>
          </w:p>
        </w:tc>
      </w:tr>
      <w:tr w14:paraId="6189D62B">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7AFA2F87">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2.2.2</w:t>
            </w:r>
          </w:p>
        </w:tc>
        <w:tc>
          <w:tcPr>
            <w:tcW w:w="1997" w:type="dxa"/>
            <w:tcBorders>
              <w:top w:val="single" w:color="auto" w:sz="4" w:space="0"/>
              <w:left w:val="nil"/>
              <w:bottom w:val="single" w:color="auto" w:sz="4" w:space="0"/>
              <w:right w:val="single" w:color="auto" w:sz="4" w:space="0"/>
            </w:tcBorders>
            <w:vAlign w:val="center"/>
          </w:tcPr>
          <w:p w14:paraId="6AFE4B2C">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采购</w:t>
            </w:r>
            <w:r>
              <w:rPr>
                <w:rFonts w:ascii="宋体" w:hAnsi="宋体" w:cs="宋体"/>
                <w:sz w:val="24"/>
                <w:szCs w:val="24"/>
              </w:rPr>
              <w:t>人澄清</w:t>
            </w:r>
            <w:r>
              <w:rPr>
                <w:rFonts w:hint="eastAsia" w:cs="宋体" w:asciiTheme="minorEastAsia" w:hAnsiTheme="minorEastAsia" w:eastAsiaTheme="minorEastAsia"/>
                <w:sz w:val="24"/>
                <w:szCs w:val="24"/>
              </w:rPr>
              <w:t>竞争性磋商</w:t>
            </w:r>
            <w:r>
              <w:rPr>
                <w:rFonts w:ascii="宋体" w:hAnsi="宋体" w:cs="宋体"/>
                <w:sz w:val="24"/>
                <w:szCs w:val="24"/>
              </w:rPr>
              <w:t>文件</w:t>
            </w:r>
            <w:r>
              <w:rPr>
                <w:rFonts w:hint="eastAsia" w:ascii="宋体" w:hAnsi="宋体" w:cs="宋体"/>
                <w:sz w:val="24"/>
                <w:szCs w:val="24"/>
              </w:rPr>
              <w:t>的时间</w:t>
            </w:r>
          </w:p>
        </w:tc>
        <w:tc>
          <w:tcPr>
            <w:tcW w:w="7158" w:type="dxa"/>
            <w:tcBorders>
              <w:top w:val="single" w:color="auto" w:sz="4" w:space="0"/>
              <w:left w:val="nil"/>
              <w:bottom w:val="single" w:color="auto" w:sz="4" w:space="0"/>
              <w:right w:val="single" w:color="auto" w:sz="4" w:space="0"/>
            </w:tcBorders>
            <w:vAlign w:val="center"/>
          </w:tcPr>
          <w:p w14:paraId="3896BE03">
            <w:pPr>
              <w:spacing w:line="480" w:lineRule="exact"/>
              <w:rPr>
                <w:rFonts w:hint="eastAsia" w:ascii="宋体" w:hAnsi="宋体" w:cs="宋体"/>
                <w:sz w:val="24"/>
                <w:szCs w:val="24"/>
              </w:rPr>
            </w:pPr>
            <w:r>
              <w:rPr>
                <w:rFonts w:ascii="宋体" w:hAnsi="宋体" w:cs="宋体"/>
                <w:sz w:val="24"/>
                <w:szCs w:val="24"/>
              </w:rPr>
              <w:t>时间：响应文件递交截止时间</w:t>
            </w:r>
            <w:r>
              <w:rPr>
                <w:rFonts w:hint="eastAsia" w:ascii="宋体" w:hAnsi="宋体" w:cs="宋体"/>
                <w:sz w:val="24"/>
                <w:szCs w:val="24"/>
              </w:rPr>
              <w:t>5</w:t>
            </w:r>
            <w:r>
              <w:rPr>
                <w:rFonts w:ascii="宋体" w:hAnsi="宋体" w:cs="宋体"/>
                <w:sz w:val="24"/>
                <w:szCs w:val="24"/>
              </w:rPr>
              <w:t xml:space="preserve">日前； </w:t>
            </w:r>
          </w:p>
          <w:p w14:paraId="0A0449A4">
            <w:pPr>
              <w:spacing w:line="480" w:lineRule="exact"/>
              <w:rPr>
                <w:rFonts w:hint="eastAsia" w:ascii="宋体" w:hAnsi="宋体" w:cs="宋体"/>
                <w:spacing w:val="-6"/>
                <w:sz w:val="24"/>
                <w:szCs w:val="24"/>
              </w:rPr>
            </w:pPr>
            <w:r>
              <w:rPr>
                <w:rFonts w:ascii="宋体" w:hAnsi="宋体" w:cs="宋体"/>
                <w:sz w:val="24"/>
                <w:szCs w:val="24"/>
              </w:rPr>
              <w:t>形式：通过“新郑市公共资源电子交易平台”发出</w:t>
            </w:r>
            <w:r>
              <w:rPr>
                <w:rFonts w:hint="eastAsia" w:hAnsi="宋体" w:cs="宋体"/>
                <w:sz w:val="24"/>
                <w:szCs w:val="24"/>
              </w:rPr>
              <w:t>竞争性磋商文件</w:t>
            </w:r>
            <w:r>
              <w:rPr>
                <w:rFonts w:ascii="宋体" w:hAnsi="宋体" w:cs="宋体"/>
                <w:sz w:val="24"/>
                <w:szCs w:val="24"/>
              </w:rPr>
              <w:t>的澄清。</w:t>
            </w:r>
          </w:p>
        </w:tc>
      </w:tr>
      <w:tr w14:paraId="0A7F1AF2">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7FEA154C">
            <w:pPr>
              <w:spacing w:line="480" w:lineRule="exact"/>
              <w:jc w:val="center"/>
              <w:rPr>
                <w:rFonts w:ascii="宋体" w:cs="宋体"/>
                <w:sz w:val="24"/>
                <w:szCs w:val="24"/>
              </w:rPr>
            </w:pPr>
            <w:r>
              <w:rPr>
                <w:rFonts w:ascii="宋体" w:hAnsi="宋体" w:cs="宋体"/>
                <w:sz w:val="24"/>
                <w:szCs w:val="24"/>
              </w:rPr>
              <w:t>2.2.</w:t>
            </w:r>
            <w:r>
              <w:rPr>
                <w:rFonts w:hint="eastAsia" w:ascii="宋体" w:hAnsi="宋体" w:cs="宋体"/>
                <w:sz w:val="24"/>
                <w:szCs w:val="24"/>
              </w:rPr>
              <w:t>3</w:t>
            </w:r>
          </w:p>
        </w:tc>
        <w:tc>
          <w:tcPr>
            <w:tcW w:w="1997" w:type="dxa"/>
            <w:tcBorders>
              <w:top w:val="single" w:color="auto" w:sz="4" w:space="0"/>
              <w:left w:val="nil"/>
              <w:bottom w:val="single" w:color="auto" w:sz="4" w:space="0"/>
              <w:right w:val="single" w:color="auto" w:sz="4" w:space="0"/>
            </w:tcBorders>
            <w:vAlign w:val="center"/>
          </w:tcPr>
          <w:p w14:paraId="523FF11B">
            <w:pPr>
              <w:spacing w:line="480" w:lineRule="exact"/>
              <w:jc w:val="center"/>
              <w:rPr>
                <w:rFonts w:ascii="宋体" w:cs="宋体"/>
                <w:sz w:val="24"/>
                <w:szCs w:val="24"/>
              </w:rPr>
            </w:pPr>
            <w:r>
              <w:rPr>
                <w:rFonts w:hint="eastAsia" w:ascii="宋体" w:hAnsi="宋体" w:cs="宋体"/>
                <w:sz w:val="24"/>
                <w:szCs w:val="24"/>
              </w:rPr>
              <w:t>供应商确认收到</w:t>
            </w:r>
            <w:r>
              <w:rPr>
                <w:rFonts w:hint="eastAsia" w:hAnsi="宋体" w:cs="宋体"/>
                <w:sz w:val="24"/>
                <w:szCs w:val="24"/>
              </w:rPr>
              <w:t>竞争性磋商文件</w:t>
            </w:r>
            <w:r>
              <w:rPr>
                <w:rFonts w:hint="eastAsia" w:ascii="宋体" w:hAnsi="宋体" w:cs="宋体"/>
                <w:sz w:val="24"/>
                <w:szCs w:val="24"/>
              </w:rPr>
              <w:t>澄清的时间</w:t>
            </w:r>
          </w:p>
        </w:tc>
        <w:tc>
          <w:tcPr>
            <w:tcW w:w="7158" w:type="dxa"/>
            <w:tcBorders>
              <w:top w:val="single" w:color="auto" w:sz="4" w:space="0"/>
              <w:left w:val="nil"/>
              <w:bottom w:val="single" w:color="auto" w:sz="4" w:space="0"/>
              <w:right w:val="single" w:color="auto" w:sz="4" w:space="0"/>
            </w:tcBorders>
            <w:vAlign w:val="center"/>
          </w:tcPr>
          <w:p w14:paraId="7A11733E">
            <w:pPr>
              <w:spacing w:line="480" w:lineRule="exact"/>
              <w:rPr>
                <w:rFonts w:ascii="宋体" w:cs="宋体"/>
                <w:sz w:val="24"/>
                <w:szCs w:val="24"/>
              </w:rPr>
            </w:pPr>
            <w:r>
              <w:rPr>
                <w:rFonts w:hint="eastAsia" w:ascii="宋体" w:hAnsi="宋体" w:cs="宋体"/>
                <w:sz w:val="24"/>
                <w:szCs w:val="24"/>
              </w:rPr>
              <w:t>不要求</w:t>
            </w:r>
          </w:p>
        </w:tc>
      </w:tr>
      <w:tr w14:paraId="0C53B858">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49396E7C">
            <w:pPr>
              <w:spacing w:line="480" w:lineRule="exact"/>
              <w:jc w:val="center"/>
              <w:rPr>
                <w:rFonts w:ascii="宋体" w:cs="宋体"/>
                <w:sz w:val="24"/>
                <w:szCs w:val="24"/>
              </w:rPr>
            </w:pPr>
            <w:r>
              <w:rPr>
                <w:rFonts w:ascii="宋体" w:hAnsi="宋体" w:cs="宋体"/>
                <w:sz w:val="24"/>
                <w:szCs w:val="24"/>
              </w:rPr>
              <w:t>2.3.2</w:t>
            </w:r>
          </w:p>
        </w:tc>
        <w:tc>
          <w:tcPr>
            <w:tcW w:w="1997" w:type="dxa"/>
            <w:tcBorders>
              <w:top w:val="single" w:color="auto" w:sz="4" w:space="0"/>
              <w:left w:val="nil"/>
              <w:bottom w:val="single" w:color="auto" w:sz="4" w:space="0"/>
              <w:right w:val="single" w:color="auto" w:sz="4" w:space="0"/>
            </w:tcBorders>
            <w:vAlign w:val="center"/>
          </w:tcPr>
          <w:p w14:paraId="3B506A35">
            <w:pPr>
              <w:spacing w:line="480" w:lineRule="exact"/>
              <w:jc w:val="center"/>
              <w:rPr>
                <w:rFonts w:ascii="宋体" w:cs="宋体"/>
                <w:sz w:val="24"/>
                <w:szCs w:val="24"/>
              </w:rPr>
            </w:pPr>
            <w:r>
              <w:rPr>
                <w:rFonts w:hint="eastAsia" w:ascii="宋体" w:hAnsi="宋体" w:cs="宋体"/>
                <w:sz w:val="24"/>
                <w:szCs w:val="24"/>
              </w:rPr>
              <w:t>供应商确认收到</w:t>
            </w:r>
            <w:r>
              <w:rPr>
                <w:rFonts w:hint="eastAsia" w:hAnsi="宋体" w:cs="宋体"/>
                <w:sz w:val="24"/>
                <w:szCs w:val="24"/>
              </w:rPr>
              <w:t>竞争性磋商文件</w:t>
            </w:r>
            <w:r>
              <w:rPr>
                <w:rFonts w:hint="eastAsia" w:ascii="宋体" w:hAnsi="宋体" w:cs="宋体"/>
                <w:sz w:val="24"/>
                <w:szCs w:val="24"/>
              </w:rPr>
              <w:t>修改的时间</w:t>
            </w:r>
          </w:p>
        </w:tc>
        <w:tc>
          <w:tcPr>
            <w:tcW w:w="7158" w:type="dxa"/>
            <w:tcBorders>
              <w:top w:val="single" w:color="auto" w:sz="4" w:space="0"/>
              <w:left w:val="nil"/>
              <w:bottom w:val="single" w:color="auto" w:sz="4" w:space="0"/>
              <w:right w:val="single" w:color="auto" w:sz="4" w:space="0"/>
            </w:tcBorders>
            <w:vAlign w:val="center"/>
          </w:tcPr>
          <w:p w14:paraId="170740F5">
            <w:pPr>
              <w:spacing w:line="480" w:lineRule="exact"/>
              <w:rPr>
                <w:rFonts w:ascii="宋体" w:cs="宋体"/>
                <w:sz w:val="24"/>
                <w:szCs w:val="24"/>
              </w:rPr>
            </w:pPr>
            <w:r>
              <w:rPr>
                <w:rFonts w:hint="eastAsia" w:ascii="宋体" w:hAnsi="宋体" w:cs="宋体"/>
                <w:sz w:val="24"/>
                <w:szCs w:val="24"/>
              </w:rPr>
              <w:t>不要求</w:t>
            </w:r>
          </w:p>
        </w:tc>
      </w:tr>
      <w:tr w14:paraId="3955B462">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02D3CA6F">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3.1.1</w:t>
            </w:r>
          </w:p>
        </w:tc>
        <w:tc>
          <w:tcPr>
            <w:tcW w:w="1997" w:type="dxa"/>
            <w:tcBorders>
              <w:top w:val="single" w:color="auto" w:sz="4" w:space="0"/>
              <w:left w:val="nil"/>
              <w:bottom w:val="single" w:color="auto" w:sz="4" w:space="0"/>
              <w:right w:val="single" w:color="auto" w:sz="4" w:space="0"/>
            </w:tcBorders>
            <w:vAlign w:val="center"/>
          </w:tcPr>
          <w:p w14:paraId="1209BC39">
            <w:pPr>
              <w:autoSpaceDE w:val="0"/>
              <w:adjustRightInd w:val="0"/>
              <w:spacing w:line="480" w:lineRule="exact"/>
              <w:jc w:val="center"/>
              <w:textAlignment w:val="baseline"/>
              <w:rPr>
                <w:rFonts w:ascii="宋体" w:cs="宋体"/>
                <w:sz w:val="24"/>
                <w:szCs w:val="24"/>
              </w:rPr>
            </w:pPr>
            <w:r>
              <w:rPr>
                <w:rFonts w:hint="eastAsia" w:ascii="宋体" w:hAnsi="宋体" w:cs="宋体"/>
                <w:sz w:val="24"/>
                <w:szCs w:val="24"/>
              </w:rPr>
              <w:t>构成竞争性磋商文件的其他材料</w:t>
            </w:r>
          </w:p>
        </w:tc>
        <w:tc>
          <w:tcPr>
            <w:tcW w:w="7158" w:type="dxa"/>
            <w:tcBorders>
              <w:top w:val="single" w:color="auto" w:sz="4" w:space="0"/>
              <w:left w:val="nil"/>
              <w:bottom w:val="single" w:color="auto" w:sz="4" w:space="0"/>
              <w:right w:val="single" w:color="auto" w:sz="4" w:space="0"/>
            </w:tcBorders>
            <w:vAlign w:val="center"/>
          </w:tcPr>
          <w:p w14:paraId="1A869D85">
            <w:pPr>
              <w:adjustRightInd w:val="0"/>
              <w:spacing w:line="480" w:lineRule="exact"/>
              <w:textAlignment w:val="baseline"/>
              <w:rPr>
                <w:rFonts w:ascii="宋体" w:cs="宋体"/>
                <w:sz w:val="24"/>
                <w:szCs w:val="24"/>
              </w:rPr>
            </w:pPr>
            <w:r>
              <w:rPr>
                <w:rFonts w:hint="eastAsia" w:ascii="宋体" w:hAnsi="宋体" w:cs="宋体"/>
                <w:sz w:val="24"/>
                <w:szCs w:val="24"/>
              </w:rPr>
              <w:t>供应商认为有利于投标的其他资料</w:t>
            </w:r>
          </w:p>
        </w:tc>
      </w:tr>
      <w:tr w14:paraId="7E481AA8">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27F5EEDE">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3.3.1</w:t>
            </w:r>
          </w:p>
        </w:tc>
        <w:tc>
          <w:tcPr>
            <w:tcW w:w="1997" w:type="dxa"/>
            <w:tcBorders>
              <w:top w:val="single" w:color="auto" w:sz="4" w:space="0"/>
              <w:left w:val="nil"/>
              <w:bottom w:val="single" w:color="auto" w:sz="4" w:space="0"/>
              <w:right w:val="single" w:color="auto" w:sz="4" w:space="0"/>
            </w:tcBorders>
            <w:vAlign w:val="center"/>
          </w:tcPr>
          <w:p w14:paraId="20D97745">
            <w:pPr>
              <w:adjustRightInd w:val="0"/>
              <w:spacing w:line="480" w:lineRule="exact"/>
              <w:jc w:val="center"/>
              <w:textAlignment w:val="baseline"/>
              <w:rPr>
                <w:rFonts w:ascii="宋体" w:cs="宋体"/>
                <w:sz w:val="24"/>
                <w:szCs w:val="24"/>
              </w:rPr>
            </w:pPr>
            <w:r>
              <w:rPr>
                <w:rFonts w:hint="eastAsia" w:ascii="宋体" w:hAnsi="宋体" w:cs="宋体"/>
                <w:sz w:val="24"/>
                <w:szCs w:val="24"/>
              </w:rPr>
              <w:t>投标有效期</w:t>
            </w:r>
          </w:p>
        </w:tc>
        <w:tc>
          <w:tcPr>
            <w:tcW w:w="7158" w:type="dxa"/>
            <w:tcBorders>
              <w:top w:val="single" w:color="auto" w:sz="4" w:space="0"/>
              <w:left w:val="nil"/>
              <w:bottom w:val="single" w:color="auto" w:sz="4" w:space="0"/>
              <w:right w:val="single" w:color="auto" w:sz="4" w:space="0"/>
            </w:tcBorders>
            <w:vAlign w:val="center"/>
          </w:tcPr>
          <w:p w14:paraId="51C14385">
            <w:pPr>
              <w:adjustRightInd w:val="0"/>
              <w:spacing w:line="480" w:lineRule="exact"/>
              <w:textAlignment w:val="baseline"/>
              <w:rPr>
                <w:rFonts w:ascii="宋体" w:cs="宋体"/>
                <w:sz w:val="24"/>
                <w:szCs w:val="24"/>
              </w:rPr>
            </w:pPr>
            <w:r>
              <w:rPr>
                <w:rFonts w:hint="eastAsia" w:ascii="宋体" w:hAnsi="宋体" w:cs="宋体"/>
                <w:sz w:val="24"/>
                <w:szCs w:val="24"/>
                <w:u w:val="single"/>
              </w:rPr>
              <w:t>9</w:t>
            </w:r>
            <w:r>
              <w:rPr>
                <w:rFonts w:ascii="宋体" w:hAnsi="宋体" w:cs="宋体"/>
                <w:sz w:val="24"/>
                <w:szCs w:val="24"/>
                <w:u w:val="single"/>
              </w:rPr>
              <w:t>0</w:t>
            </w:r>
            <w:r>
              <w:rPr>
                <w:rFonts w:hint="eastAsia" w:ascii="宋体" w:hAnsi="宋体" w:cs="宋体"/>
                <w:sz w:val="24"/>
                <w:szCs w:val="24"/>
              </w:rPr>
              <w:t>日历天（自响应文件递交截止时间起）</w:t>
            </w:r>
          </w:p>
        </w:tc>
      </w:tr>
      <w:tr w14:paraId="45992FFF">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2F339AF7">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3.4</w:t>
            </w:r>
          </w:p>
        </w:tc>
        <w:tc>
          <w:tcPr>
            <w:tcW w:w="1997" w:type="dxa"/>
            <w:tcBorders>
              <w:top w:val="single" w:color="auto" w:sz="4" w:space="0"/>
              <w:left w:val="nil"/>
              <w:bottom w:val="single" w:color="auto" w:sz="4" w:space="0"/>
              <w:right w:val="single" w:color="auto" w:sz="4" w:space="0"/>
            </w:tcBorders>
            <w:vAlign w:val="center"/>
          </w:tcPr>
          <w:p w14:paraId="69CCB9FD">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资格审查资料</w:t>
            </w:r>
          </w:p>
        </w:tc>
        <w:tc>
          <w:tcPr>
            <w:tcW w:w="7158" w:type="dxa"/>
            <w:tcBorders>
              <w:top w:val="single" w:color="auto" w:sz="4" w:space="0"/>
              <w:left w:val="nil"/>
              <w:bottom w:val="single" w:color="auto" w:sz="4" w:space="0"/>
              <w:right w:val="single" w:color="auto" w:sz="4" w:space="0"/>
            </w:tcBorders>
            <w:vAlign w:val="center"/>
          </w:tcPr>
          <w:p w14:paraId="6E080AF4">
            <w:pPr>
              <w:adjustRightInd w:val="0"/>
              <w:spacing w:line="480" w:lineRule="exact"/>
              <w:textAlignment w:val="baseline"/>
              <w:rPr>
                <w:rFonts w:hint="eastAsia" w:ascii="宋体" w:hAnsi="宋体" w:cs="宋体"/>
                <w:sz w:val="24"/>
                <w:szCs w:val="24"/>
                <w:u w:val="single"/>
              </w:rPr>
            </w:pPr>
            <w:r>
              <w:rPr>
                <w:rFonts w:hint="eastAsia" w:ascii="宋体" w:hAnsi="宋体" w:cs="宋体"/>
                <w:sz w:val="24"/>
                <w:szCs w:val="24"/>
              </w:rPr>
              <w:t>见【第三章 资格审查】</w:t>
            </w:r>
          </w:p>
        </w:tc>
      </w:tr>
      <w:tr w14:paraId="24481139">
        <w:tblPrEx>
          <w:tblCellMar>
            <w:top w:w="0" w:type="dxa"/>
            <w:left w:w="108" w:type="dxa"/>
            <w:bottom w:w="0" w:type="dxa"/>
            <w:right w:w="108" w:type="dxa"/>
          </w:tblCellMar>
        </w:tblPrEx>
        <w:trPr>
          <w:trHeight w:val="985" w:hRule="atLeast"/>
        </w:trPr>
        <w:tc>
          <w:tcPr>
            <w:tcW w:w="963" w:type="dxa"/>
            <w:tcBorders>
              <w:top w:val="single" w:color="auto" w:sz="4" w:space="0"/>
              <w:left w:val="single" w:color="auto" w:sz="4" w:space="0"/>
              <w:bottom w:val="single" w:color="auto" w:sz="4" w:space="0"/>
              <w:right w:val="single" w:color="auto" w:sz="4" w:space="0"/>
            </w:tcBorders>
            <w:vAlign w:val="center"/>
          </w:tcPr>
          <w:p w14:paraId="20D31F22">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5</w:t>
            </w:r>
          </w:p>
        </w:tc>
        <w:tc>
          <w:tcPr>
            <w:tcW w:w="1997" w:type="dxa"/>
            <w:tcBorders>
              <w:top w:val="single" w:color="auto" w:sz="4" w:space="0"/>
              <w:left w:val="nil"/>
              <w:bottom w:val="single" w:color="auto" w:sz="4" w:space="0"/>
              <w:right w:val="single" w:color="auto" w:sz="4" w:space="0"/>
            </w:tcBorders>
            <w:vAlign w:val="center"/>
          </w:tcPr>
          <w:p w14:paraId="5E5E187E">
            <w:pPr>
              <w:autoSpaceDE w:val="0"/>
              <w:adjustRightInd w:val="0"/>
              <w:spacing w:line="480" w:lineRule="exact"/>
              <w:jc w:val="center"/>
              <w:textAlignment w:val="baseline"/>
              <w:rPr>
                <w:rFonts w:ascii="宋体" w:cs="宋体"/>
                <w:sz w:val="24"/>
                <w:szCs w:val="24"/>
              </w:rPr>
            </w:pPr>
            <w:r>
              <w:rPr>
                <w:rFonts w:hint="eastAsia" w:ascii="宋体" w:hAnsi="宋体" w:cs="宋体"/>
                <w:sz w:val="24"/>
                <w:szCs w:val="24"/>
              </w:rPr>
              <w:t>是否允许递交备选投标方案</w:t>
            </w:r>
          </w:p>
        </w:tc>
        <w:tc>
          <w:tcPr>
            <w:tcW w:w="7158" w:type="dxa"/>
            <w:tcBorders>
              <w:top w:val="single" w:color="auto" w:sz="4" w:space="0"/>
              <w:left w:val="nil"/>
              <w:bottom w:val="single" w:color="auto" w:sz="4" w:space="0"/>
              <w:right w:val="single" w:color="auto" w:sz="4" w:space="0"/>
            </w:tcBorders>
            <w:vAlign w:val="center"/>
          </w:tcPr>
          <w:p w14:paraId="5ADE7C01">
            <w:pPr>
              <w:adjustRightInd w:val="0"/>
              <w:spacing w:line="480" w:lineRule="exact"/>
              <w:textAlignment w:val="baseline"/>
              <w:rPr>
                <w:rFonts w:ascii="宋体" w:cs="宋体"/>
                <w:sz w:val="24"/>
                <w:szCs w:val="24"/>
              </w:rPr>
            </w:pPr>
            <w:r>
              <w:rPr>
                <w:rFonts w:hint="eastAsia" w:ascii="宋体" w:hAnsi="宋体" w:cs="宋体"/>
                <w:sz w:val="24"/>
                <w:szCs w:val="24"/>
              </w:rPr>
              <w:t>不允许</w:t>
            </w:r>
          </w:p>
        </w:tc>
      </w:tr>
      <w:tr w14:paraId="576C6278">
        <w:tblPrEx>
          <w:tblCellMar>
            <w:top w:w="0" w:type="dxa"/>
            <w:left w:w="108" w:type="dxa"/>
            <w:bottom w:w="0" w:type="dxa"/>
            <w:right w:w="108" w:type="dxa"/>
          </w:tblCellMar>
        </w:tblPrEx>
        <w:trPr>
          <w:trHeight w:val="510" w:hRule="atLeast"/>
        </w:trPr>
        <w:tc>
          <w:tcPr>
            <w:tcW w:w="963" w:type="dxa"/>
            <w:tcBorders>
              <w:top w:val="single" w:color="auto" w:sz="4" w:space="0"/>
              <w:left w:val="single" w:color="auto" w:sz="4" w:space="0"/>
              <w:bottom w:val="single" w:color="auto" w:sz="4" w:space="0"/>
              <w:right w:val="single" w:color="auto" w:sz="4" w:space="0"/>
            </w:tcBorders>
            <w:vAlign w:val="center"/>
          </w:tcPr>
          <w:p w14:paraId="7BC98FE5">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6.4</w:t>
            </w:r>
          </w:p>
        </w:tc>
        <w:tc>
          <w:tcPr>
            <w:tcW w:w="1997" w:type="dxa"/>
            <w:tcBorders>
              <w:top w:val="single" w:color="auto" w:sz="4" w:space="0"/>
              <w:left w:val="nil"/>
              <w:bottom w:val="single" w:color="auto" w:sz="4" w:space="0"/>
              <w:right w:val="single" w:color="auto" w:sz="4" w:space="0"/>
            </w:tcBorders>
            <w:vAlign w:val="center"/>
          </w:tcPr>
          <w:p w14:paraId="7EA23C5F">
            <w:pPr>
              <w:autoSpaceDE w:val="0"/>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签字或盖章要求</w:t>
            </w:r>
          </w:p>
          <w:p w14:paraId="30F31634">
            <w:pPr>
              <w:autoSpaceDE w:val="0"/>
              <w:adjustRightInd w:val="0"/>
              <w:spacing w:line="480" w:lineRule="exact"/>
              <w:jc w:val="center"/>
              <w:textAlignment w:val="baseline"/>
              <w:rPr>
                <w:rFonts w:ascii="宋体" w:cs="宋体"/>
                <w:sz w:val="24"/>
                <w:szCs w:val="24"/>
              </w:rPr>
            </w:pPr>
            <w:r>
              <w:rPr>
                <w:rFonts w:hint="eastAsia" w:ascii="宋体" w:hAnsi="宋体" w:cs="宋体"/>
                <w:sz w:val="24"/>
                <w:szCs w:val="24"/>
              </w:rPr>
              <w:t>及响应文件的制作</w:t>
            </w:r>
          </w:p>
        </w:tc>
        <w:tc>
          <w:tcPr>
            <w:tcW w:w="7158" w:type="dxa"/>
            <w:tcBorders>
              <w:top w:val="single" w:color="auto" w:sz="4" w:space="0"/>
              <w:left w:val="nil"/>
              <w:bottom w:val="single" w:color="auto" w:sz="4" w:space="0"/>
              <w:right w:val="single" w:color="auto" w:sz="4" w:space="0"/>
            </w:tcBorders>
            <w:vAlign w:val="center"/>
          </w:tcPr>
          <w:p w14:paraId="78A78EF2">
            <w:pPr>
              <w:autoSpaceDE w:val="0"/>
              <w:adjustRightInd w:val="0"/>
              <w:spacing w:line="480" w:lineRule="exact"/>
              <w:ind w:firstLine="153" w:firstLineChars="64"/>
              <w:textAlignment w:val="baseline"/>
              <w:rPr>
                <w:rFonts w:ascii="宋体" w:cs="宋体"/>
                <w:sz w:val="24"/>
                <w:szCs w:val="24"/>
              </w:rPr>
            </w:pPr>
            <w:r>
              <w:rPr>
                <w:rFonts w:hint="eastAsia" w:ascii="宋体" w:hAnsi="宋体" w:cs="宋体"/>
                <w:sz w:val="24"/>
                <w:szCs w:val="24"/>
              </w:rPr>
              <w:t>签字或盖章要求：符合</w:t>
            </w:r>
            <w:r>
              <w:rPr>
                <w:rFonts w:hint="eastAsia" w:hAnsi="宋体" w:cs="宋体"/>
                <w:sz w:val="24"/>
                <w:szCs w:val="24"/>
              </w:rPr>
              <w:t>竞争性磋商文件</w:t>
            </w:r>
            <w:r>
              <w:rPr>
                <w:rFonts w:hint="eastAsia" w:ascii="宋体" w:hAnsi="宋体" w:cs="宋体"/>
                <w:sz w:val="24"/>
                <w:szCs w:val="24"/>
              </w:rPr>
              <w:t>要求</w:t>
            </w:r>
          </w:p>
          <w:p w14:paraId="4F23D3BF">
            <w:pPr>
              <w:pStyle w:val="59"/>
              <w:autoSpaceDE w:val="0"/>
              <w:adjustRightInd w:val="0"/>
              <w:spacing w:before="0" w:beforeAutospacing="0" w:line="480" w:lineRule="exact"/>
              <w:ind w:firstLine="153" w:firstLineChars="64"/>
              <w:textAlignment w:val="baseline"/>
              <w:rPr>
                <w:rFonts w:ascii="宋体" w:cs="宋体"/>
              </w:rPr>
            </w:pPr>
            <w:r>
              <w:rPr>
                <w:rFonts w:hint="eastAsia" w:ascii="宋体" w:hAnsi="宋体" w:cs="宋体"/>
              </w:rPr>
              <w:t>响应文件的制作应满足以下规定：</w:t>
            </w:r>
          </w:p>
          <w:p w14:paraId="2C7F2DB7">
            <w:pPr>
              <w:pStyle w:val="59"/>
              <w:autoSpaceDE w:val="0"/>
              <w:adjustRightInd w:val="0"/>
              <w:spacing w:before="0" w:beforeAutospacing="0" w:line="480" w:lineRule="exact"/>
              <w:ind w:firstLine="153" w:firstLineChars="64"/>
              <w:textAlignment w:val="baseline"/>
              <w:rPr>
                <w:rFonts w:ascii="宋体" w:cs="宋体"/>
              </w:rPr>
            </w:pPr>
            <w:r>
              <w:rPr>
                <w:rFonts w:hint="eastAsia" w:ascii="宋体" w:hAnsi="宋体" w:cs="宋体"/>
              </w:rPr>
              <w:t>（</w:t>
            </w:r>
            <w:r>
              <w:rPr>
                <w:rFonts w:ascii="宋体" w:hAnsi="宋体" w:cs="宋体"/>
              </w:rPr>
              <w:t>1</w:t>
            </w:r>
            <w:r>
              <w:rPr>
                <w:rFonts w:hint="eastAsia" w:ascii="宋体" w:hAnsi="宋体" w:cs="宋体"/>
              </w:rPr>
              <w:t>）响应文件由供应商使用“新郑市公共资源交易中心”网站【下载专区】的“投标文件制作工具”制作生成。</w:t>
            </w:r>
          </w:p>
          <w:p w14:paraId="26098B77">
            <w:pPr>
              <w:pStyle w:val="59"/>
              <w:autoSpaceDE w:val="0"/>
              <w:adjustRightInd w:val="0"/>
              <w:spacing w:before="0" w:beforeAutospacing="0" w:line="480" w:lineRule="exact"/>
              <w:ind w:firstLine="153" w:firstLineChars="64"/>
              <w:textAlignment w:val="baseline"/>
              <w:rPr>
                <w:rFonts w:ascii="宋体" w:cs="宋体"/>
              </w:rPr>
            </w:pPr>
            <w:r>
              <w:rPr>
                <w:rFonts w:hint="eastAsia" w:ascii="宋体" w:hAnsi="宋体" w:cs="宋体"/>
              </w:rPr>
              <w:t>（</w:t>
            </w:r>
            <w:r>
              <w:rPr>
                <w:rFonts w:ascii="宋体" w:hAnsi="宋体" w:cs="宋体"/>
              </w:rPr>
              <w:t>2</w:t>
            </w:r>
            <w:r>
              <w:rPr>
                <w:rFonts w:hint="eastAsia" w:ascii="宋体" w:hAnsi="宋体" w:cs="宋体"/>
              </w:rPr>
              <w:t>）“响应文件格式”中要求盖电子签章的地方，供应商均应按照要求盖电子签章。</w:t>
            </w:r>
          </w:p>
          <w:p w14:paraId="573820BB">
            <w:pPr>
              <w:pStyle w:val="59"/>
              <w:autoSpaceDE w:val="0"/>
              <w:adjustRightInd w:val="0"/>
              <w:spacing w:before="0" w:beforeAutospacing="0" w:line="480" w:lineRule="exact"/>
              <w:ind w:firstLine="153" w:firstLineChars="64"/>
              <w:textAlignment w:val="baseline"/>
              <w:rPr>
                <w:rFonts w:ascii="宋体" w:cs="宋体"/>
              </w:rPr>
            </w:pPr>
            <w:r>
              <w:rPr>
                <w:rFonts w:hint="eastAsia" w:ascii="宋体" w:hAnsi="宋体" w:cs="宋体"/>
              </w:rPr>
              <w:t>（</w:t>
            </w:r>
            <w:r>
              <w:rPr>
                <w:rFonts w:ascii="宋体" w:hAnsi="宋体" w:cs="宋体"/>
              </w:rPr>
              <w:t>3</w:t>
            </w:r>
            <w:r>
              <w:rPr>
                <w:rFonts w:hint="eastAsia" w:ascii="宋体" w:hAnsi="宋体" w:cs="宋体"/>
              </w:rPr>
              <w:t>）响应文件制作完成后，供应商应使用</w:t>
            </w:r>
            <w:r>
              <w:rPr>
                <w:rFonts w:ascii="宋体" w:hAnsi="宋体" w:cs="宋体"/>
              </w:rPr>
              <w:t xml:space="preserve"> CA </w:t>
            </w:r>
            <w:r>
              <w:rPr>
                <w:rFonts w:hint="eastAsia" w:ascii="宋体" w:hAnsi="宋体" w:cs="宋体"/>
              </w:rPr>
              <w:t>数字证书对响应文件进行文件加密，形成加密的响应文件。</w:t>
            </w:r>
          </w:p>
          <w:p w14:paraId="1F4C913C">
            <w:pPr>
              <w:pStyle w:val="59"/>
              <w:autoSpaceDE w:val="0"/>
              <w:adjustRightInd w:val="0"/>
              <w:spacing w:before="0" w:beforeAutospacing="0" w:line="480" w:lineRule="exact"/>
              <w:ind w:firstLine="153" w:firstLineChars="64"/>
              <w:textAlignment w:val="baseline"/>
              <w:rPr>
                <w:rFonts w:ascii="宋体" w:cs="宋体"/>
              </w:rPr>
            </w:pPr>
            <w:r>
              <w:rPr>
                <w:rFonts w:hint="eastAsia" w:ascii="宋体" w:hAnsi="宋体" w:cs="宋体"/>
              </w:rPr>
              <w:t>（</w:t>
            </w:r>
            <w:r>
              <w:rPr>
                <w:rFonts w:ascii="宋体" w:hAnsi="宋体" w:cs="宋体"/>
              </w:rPr>
              <w:t>4</w:t>
            </w:r>
            <w:r>
              <w:rPr>
                <w:rFonts w:hint="eastAsia" w:ascii="宋体" w:hAnsi="宋体" w:cs="宋体"/>
              </w:rPr>
              <w:t>）响应文件制作的具体方法详见“新郑市公共资源交易中心”网站“电子投标文件制作手册”。</w:t>
            </w:r>
          </w:p>
        </w:tc>
      </w:tr>
      <w:tr w14:paraId="0023B077">
        <w:tblPrEx>
          <w:tblCellMar>
            <w:top w:w="0" w:type="dxa"/>
            <w:left w:w="108" w:type="dxa"/>
            <w:bottom w:w="0" w:type="dxa"/>
            <w:right w:w="108" w:type="dxa"/>
          </w:tblCellMar>
        </w:tblPrEx>
        <w:trPr>
          <w:trHeight w:val="627" w:hRule="atLeast"/>
        </w:trPr>
        <w:tc>
          <w:tcPr>
            <w:tcW w:w="963" w:type="dxa"/>
            <w:tcBorders>
              <w:top w:val="single" w:color="auto" w:sz="4" w:space="0"/>
              <w:left w:val="single" w:color="auto" w:sz="4" w:space="0"/>
              <w:bottom w:val="single" w:color="auto" w:sz="4" w:space="0"/>
              <w:right w:val="single" w:color="auto" w:sz="4" w:space="0"/>
            </w:tcBorders>
            <w:vAlign w:val="center"/>
          </w:tcPr>
          <w:p w14:paraId="740A6DDB">
            <w:pPr>
              <w:adjustRightInd w:val="0"/>
              <w:snapToGrid w:val="0"/>
              <w:spacing w:line="480" w:lineRule="exact"/>
              <w:jc w:val="center"/>
              <w:rPr>
                <w:rFonts w:hint="eastAsia" w:ascii="宋体" w:hAnsi="宋体" w:cs="宋体"/>
                <w:sz w:val="24"/>
                <w:szCs w:val="24"/>
              </w:rPr>
            </w:pPr>
            <w:r>
              <w:rPr>
                <w:rFonts w:ascii="宋体" w:hAnsi="宋体" w:cs="宋体"/>
                <w:sz w:val="24"/>
                <w:szCs w:val="24"/>
              </w:rPr>
              <w:t>4.2</w:t>
            </w:r>
          </w:p>
        </w:tc>
        <w:tc>
          <w:tcPr>
            <w:tcW w:w="1997" w:type="dxa"/>
            <w:tcBorders>
              <w:top w:val="single" w:color="auto" w:sz="4" w:space="0"/>
              <w:left w:val="nil"/>
              <w:bottom w:val="single" w:color="auto" w:sz="4" w:space="0"/>
              <w:right w:val="single" w:color="auto" w:sz="4" w:space="0"/>
            </w:tcBorders>
            <w:vAlign w:val="center"/>
          </w:tcPr>
          <w:p w14:paraId="4F2569B6">
            <w:pPr>
              <w:adjustRightInd w:val="0"/>
              <w:snapToGrid w:val="0"/>
              <w:spacing w:line="480" w:lineRule="exact"/>
              <w:jc w:val="center"/>
              <w:rPr>
                <w:rFonts w:ascii="宋体" w:cs="宋体"/>
                <w:sz w:val="24"/>
                <w:szCs w:val="24"/>
              </w:rPr>
            </w:pPr>
            <w:r>
              <w:rPr>
                <w:rFonts w:hint="eastAsia" w:ascii="宋体" w:hAnsi="宋体" w:cs="宋体"/>
                <w:sz w:val="24"/>
                <w:szCs w:val="24"/>
              </w:rPr>
              <w:t>电子响应文件的递交</w:t>
            </w:r>
          </w:p>
        </w:tc>
        <w:tc>
          <w:tcPr>
            <w:tcW w:w="7158" w:type="dxa"/>
            <w:tcBorders>
              <w:top w:val="single" w:color="auto" w:sz="4" w:space="0"/>
              <w:left w:val="nil"/>
              <w:bottom w:val="single" w:color="auto" w:sz="4" w:space="0"/>
              <w:right w:val="single" w:color="auto" w:sz="4" w:space="0"/>
            </w:tcBorders>
            <w:vAlign w:val="center"/>
          </w:tcPr>
          <w:p w14:paraId="69554E65">
            <w:pPr>
              <w:adjustRightInd w:val="0"/>
              <w:snapToGrid w:val="0"/>
              <w:spacing w:line="480" w:lineRule="exact"/>
              <w:ind w:firstLine="480" w:firstLineChars="200"/>
              <w:jc w:val="left"/>
              <w:rPr>
                <w:rFonts w:hint="eastAsia" w:cs="宋体" w:asciiTheme="minorEastAsia" w:hAnsiTheme="minorEastAsia" w:eastAsiaTheme="minorEastAsia"/>
                <w:sz w:val="24"/>
                <w:szCs w:val="24"/>
              </w:rPr>
            </w:pPr>
            <w:r>
              <w:rPr>
                <w:rFonts w:ascii="宋体" w:hAnsi="宋体" w:cs="宋体"/>
                <w:sz w:val="24"/>
                <w:szCs w:val="24"/>
              </w:rPr>
              <w:t>本项目采用“远程不见面”开标方式</w:t>
            </w:r>
            <w:r>
              <w:rPr>
                <w:rFonts w:hint="eastAsia" w:cs="宋体" w:asciiTheme="minorEastAsia" w:hAnsiTheme="minorEastAsia" w:eastAsiaTheme="minorEastAsia"/>
                <w:sz w:val="24"/>
                <w:szCs w:val="24"/>
              </w:rPr>
              <w:t>，供应商只须递交电子响应文件，无须递交纸质版响应文件</w:t>
            </w:r>
            <w:r>
              <w:rPr>
                <w:rFonts w:ascii="宋体" w:hAnsi="宋体" w:cs="宋体"/>
                <w:sz w:val="24"/>
                <w:szCs w:val="24"/>
              </w:rPr>
              <w:t>和未加密的电子响应文件</w:t>
            </w:r>
            <w:r>
              <w:rPr>
                <w:rFonts w:hint="eastAsia" w:cs="宋体" w:asciiTheme="minorEastAsia" w:hAnsiTheme="minorEastAsia" w:eastAsiaTheme="minorEastAsia"/>
                <w:sz w:val="24"/>
                <w:szCs w:val="24"/>
              </w:rPr>
              <w:t>。</w:t>
            </w:r>
          </w:p>
          <w:p w14:paraId="08AD6C62">
            <w:pPr>
              <w:adjustRightInd w:val="0"/>
              <w:snapToGrid w:val="0"/>
              <w:spacing w:line="480" w:lineRule="exact"/>
              <w:ind w:firstLine="480" w:firstLineChars="200"/>
              <w:jc w:val="left"/>
              <w:rPr>
                <w:rFonts w:ascii="宋体" w:cs="宋体"/>
                <w:sz w:val="24"/>
                <w:szCs w:val="24"/>
              </w:rPr>
            </w:pPr>
            <w:r>
              <w:rPr>
                <w:rFonts w:hint="eastAsia" w:ascii="宋体" w:hAnsi="宋体" w:cs="宋体"/>
                <w:sz w:val="24"/>
                <w:szCs w:val="24"/>
              </w:rPr>
              <w:t>应在投标截止时间前上传加密的电子响应文件到会员系统的指定位置。</w:t>
            </w:r>
            <w:r>
              <w:rPr>
                <w:rFonts w:ascii="宋体" w:hAnsi="宋体" w:cs="宋体"/>
                <w:sz w:val="24"/>
                <w:szCs w:val="24"/>
              </w:rPr>
              <w:t>上传时必须得到电脑“上传成功”的确认回复。请</w:t>
            </w:r>
            <w:r>
              <w:rPr>
                <w:rFonts w:hint="eastAsia" w:ascii="宋体" w:hAnsi="宋体" w:cs="宋体"/>
                <w:sz w:val="24"/>
                <w:szCs w:val="24"/>
              </w:rPr>
              <w:t>供应商</w:t>
            </w:r>
            <w:r>
              <w:rPr>
                <w:rFonts w:ascii="宋体" w:hAnsi="宋体" w:cs="宋体"/>
                <w:sz w:val="24"/>
                <w:szCs w:val="24"/>
              </w:rPr>
              <w:t>在上传时认真检查上传响应文件是否完整、正确。</w:t>
            </w:r>
          </w:p>
        </w:tc>
      </w:tr>
      <w:tr w14:paraId="62D82EAC">
        <w:tblPrEx>
          <w:tblCellMar>
            <w:top w:w="0" w:type="dxa"/>
            <w:left w:w="108" w:type="dxa"/>
            <w:bottom w:w="0" w:type="dxa"/>
            <w:right w:w="108" w:type="dxa"/>
          </w:tblCellMar>
        </w:tblPrEx>
        <w:trPr>
          <w:trHeight w:val="627" w:hRule="atLeast"/>
        </w:trPr>
        <w:tc>
          <w:tcPr>
            <w:tcW w:w="963" w:type="dxa"/>
            <w:tcBorders>
              <w:top w:val="single" w:color="auto" w:sz="4" w:space="0"/>
              <w:left w:val="single" w:color="auto" w:sz="4" w:space="0"/>
              <w:bottom w:val="single" w:color="auto" w:sz="4" w:space="0"/>
              <w:right w:val="single" w:color="auto" w:sz="4" w:space="0"/>
            </w:tcBorders>
            <w:vAlign w:val="center"/>
          </w:tcPr>
          <w:p w14:paraId="743575EE">
            <w:pPr>
              <w:spacing w:line="480" w:lineRule="exact"/>
              <w:jc w:val="center"/>
              <w:rPr>
                <w:rFonts w:hint="eastAsia" w:ascii="宋体" w:hAnsi="宋体" w:cs="宋体"/>
                <w:sz w:val="24"/>
                <w:szCs w:val="24"/>
              </w:rPr>
            </w:pPr>
            <w:r>
              <w:rPr>
                <w:rFonts w:ascii="宋体" w:hAnsi="宋体" w:cs="宋体"/>
                <w:sz w:val="24"/>
                <w:szCs w:val="24"/>
              </w:rPr>
              <w:t>4.2.</w:t>
            </w:r>
            <w:r>
              <w:rPr>
                <w:rFonts w:hint="eastAsia" w:ascii="宋体" w:hAnsi="宋体" w:cs="宋体"/>
                <w:sz w:val="24"/>
                <w:szCs w:val="24"/>
              </w:rPr>
              <w:t>3</w:t>
            </w:r>
          </w:p>
        </w:tc>
        <w:tc>
          <w:tcPr>
            <w:tcW w:w="1997" w:type="dxa"/>
            <w:tcBorders>
              <w:top w:val="single" w:color="auto" w:sz="4" w:space="0"/>
              <w:left w:val="nil"/>
              <w:bottom w:val="single" w:color="auto" w:sz="4" w:space="0"/>
              <w:right w:val="single" w:color="auto" w:sz="4" w:space="0"/>
            </w:tcBorders>
            <w:vAlign w:val="center"/>
          </w:tcPr>
          <w:p w14:paraId="41FA2E36">
            <w:pPr>
              <w:adjustRightInd w:val="0"/>
              <w:snapToGrid w:val="0"/>
              <w:spacing w:line="480" w:lineRule="exact"/>
              <w:jc w:val="center"/>
              <w:rPr>
                <w:rFonts w:ascii="宋体" w:cs="宋体"/>
                <w:sz w:val="24"/>
                <w:szCs w:val="24"/>
              </w:rPr>
            </w:pPr>
            <w:r>
              <w:rPr>
                <w:rFonts w:hint="eastAsia" w:ascii="宋体" w:hAnsi="宋体" w:cs="宋体"/>
                <w:sz w:val="24"/>
                <w:szCs w:val="24"/>
              </w:rPr>
              <w:t>是否退还电子响应文件</w:t>
            </w:r>
          </w:p>
        </w:tc>
        <w:tc>
          <w:tcPr>
            <w:tcW w:w="7158" w:type="dxa"/>
            <w:tcBorders>
              <w:top w:val="single" w:color="auto" w:sz="4" w:space="0"/>
              <w:left w:val="nil"/>
              <w:bottom w:val="single" w:color="auto" w:sz="4" w:space="0"/>
              <w:right w:val="single" w:color="auto" w:sz="4" w:space="0"/>
            </w:tcBorders>
            <w:vAlign w:val="center"/>
          </w:tcPr>
          <w:p w14:paraId="35CBB47F">
            <w:pPr>
              <w:adjustRightInd w:val="0"/>
              <w:snapToGrid w:val="0"/>
              <w:spacing w:line="480" w:lineRule="exact"/>
              <w:jc w:val="left"/>
              <w:rPr>
                <w:rFonts w:ascii="宋体" w:cs="宋体"/>
                <w:sz w:val="24"/>
                <w:szCs w:val="24"/>
              </w:rPr>
            </w:pPr>
            <w:r>
              <w:rPr>
                <w:rFonts w:hint="eastAsia" w:ascii="宋体" w:hAnsi="宋体" w:cs="宋体"/>
                <w:sz w:val="24"/>
                <w:szCs w:val="24"/>
              </w:rPr>
              <w:t>否</w:t>
            </w:r>
          </w:p>
        </w:tc>
      </w:tr>
      <w:tr w14:paraId="48A90D8C">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1A8361B7">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5.1</w:t>
            </w:r>
          </w:p>
        </w:tc>
        <w:tc>
          <w:tcPr>
            <w:tcW w:w="1997" w:type="dxa"/>
            <w:tcBorders>
              <w:top w:val="single" w:color="auto" w:sz="4" w:space="0"/>
              <w:left w:val="nil"/>
              <w:bottom w:val="single" w:color="auto" w:sz="4" w:space="0"/>
              <w:right w:val="single" w:color="auto" w:sz="4" w:space="0"/>
            </w:tcBorders>
            <w:vAlign w:val="center"/>
          </w:tcPr>
          <w:p w14:paraId="3D486C2B">
            <w:pPr>
              <w:adjustRightInd w:val="0"/>
              <w:spacing w:line="480" w:lineRule="exact"/>
              <w:jc w:val="center"/>
              <w:textAlignment w:val="baseline"/>
              <w:rPr>
                <w:rFonts w:ascii="宋体" w:cs="宋体"/>
                <w:sz w:val="24"/>
                <w:szCs w:val="24"/>
              </w:rPr>
            </w:pPr>
            <w:r>
              <w:rPr>
                <w:rFonts w:hint="eastAsia" w:ascii="宋体" w:hAnsi="宋体" w:cs="宋体"/>
                <w:sz w:val="24"/>
                <w:szCs w:val="24"/>
              </w:rPr>
              <w:t>开标时间和地点</w:t>
            </w:r>
          </w:p>
        </w:tc>
        <w:tc>
          <w:tcPr>
            <w:tcW w:w="7158" w:type="dxa"/>
            <w:tcBorders>
              <w:top w:val="single" w:color="auto" w:sz="4" w:space="0"/>
              <w:left w:val="nil"/>
              <w:bottom w:val="single" w:color="auto" w:sz="4" w:space="0"/>
              <w:right w:val="single" w:color="auto" w:sz="4" w:space="0"/>
            </w:tcBorders>
            <w:vAlign w:val="center"/>
          </w:tcPr>
          <w:p w14:paraId="1E6A7A6D">
            <w:pPr>
              <w:spacing w:line="480" w:lineRule="exact"/>
              <w:rPr>
                <w:rFonts w:hint="eastAsia" w:ascii="宋体" w:hAnsi="宋体" w:cs="宋体"/>
                <w:sz w:val="24"/>
                <w:szCs w:val="24"/>
              </w:rPr>
            </w:pPr>
            <w:r>
              <w:rPr>
                <w:rFonts w:ascii="宋体" w:hAnsi="宋体" w:cs="宋体"/>
                <w:sz w:val="24"/>
                <w:szCs w:val="24"/>
              </w:rPr>
              <w:t xml:space="preserve">见【第一章 </w:t>
            </w:r>
            <w:r>
              <w:rPr>
                <w:rFonts w:hint="eastAsia" w:cs="宋体" w:asciiTheme="minorEastAsia" w:hAnsiTheme="minorEastAsia" w:eastAsiaTheme="minorEastAsia"/>
                <w:sz w:val="24"/>
                <w:szCs w:val="24"/>
              </w:rPr>
              <w:t>竞争性磋商</w:t>
            </w:r>
            <w:r>
              <w:rPr>
                <w:rFonts w:ascii="宋体" w:hAnsi="宋体" w:cs="宋体"/>
                <w:sz w:val="24"/>
                <w:szCs w:val="24"/>
              </w:rPr>
              <w:t>公告】</w:t>
            </w:r>
          </w:p>
          <w:p w14:paraId="75E7620A">
            <w:pPr>
              <w:spacing w:line="480" w:lineRule="exact"/>
              <w:rPr>
                <w:rFonts w:hint="eastAsia" w:ascii="宋体" w:hAnsi="宋体" w:cs="宋体"/>
                <w:sz w:val="24"/>
                <w:szCs w:val="24"/>
              </w:rPr>
            </w:pPr>
            <w:r>
              <w:rPr>
                <w:rFonts w:ascii="宋体" w:hAnsi="宋体" w:cs="宋体"/>
                <w:sz w:val="24"/>
                <w:szCs w:val="24"/>
              </w:rPr>
              <w:t>通过 PC 登录新郑市公共资源交易中心网站，进入不见面开标大厅(详见新郑市公共资源交易中心网站--办事指南--服务指南《</w:t>
            </w:r>
            <w:r>
              <w:rPr>
                <w:rFonts w:hint="eastAsia" w:ascii="宋体" w:hAnsi="宋体" w:cs="宋体"/>
                <w:sz w:val="24"/>
                <w:szCs w:val="24"/>
              </w:rPr>
              <w:t>新郑市公共资源交易中心不见面开标大厅操作说明</w:t>
            </w:r>
            <w:r>
              <w:rPr>
                <w:rFonts w:ascii="宋体" w:hAnsi="宋体" w:cs="宋体"/>
                <w:sz w:val="24"/>
                <w:szCs w:val="24"/>
              </w:rPr>
              <w:t xml:space="preserve">》)。 </w:t>
            </w:r>
          </w:p>
        </w:tc>
      </w:tr>
      <w:tr w14:paraId="1844C707">
        <w:tblPrEx>
          <w:tblCellMar>
            <w:top w:w="0" w:type="dxa"/>
            <w:left w:w="108" w:type="dxa"/>
            <w:bottom w:w="0" w:type="dxa"/>
            <w:right w:w="108" w:type="dxa"/>
          </w:tblCellMar>
        </w:tblPrEx>
        <w:trPr>
          <w:trHeight w:val="585" w:hRule="atLeast"/>
        </w:trPr>
        <w:tc>
          <w:tcPr>
            <w:tcW w:w="963" w:type="dxa"/>
            <w:tcBorders>
              <w:top w:val="single" w:color="auto" w:sz="4" w:space="0"/>
              <w:left w:val="single" w:color="auto" w:sz="4" w:space="0"/>
              <w:bottom w:val="single" w:color="auto" w:sz="4" w:space="0"/>
              <w:right w:val="single" w:color="auto" w:sz="4" w:space="0"/>
            </w:tcBorders>
            <w:vAlign w:val="center"/>
          </w:tcPr>
          <w:p w14:paraId="18798DB3">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5.2</w:t>
            </w:r>
          </w:p>
        </w:tc>
        <w:tc>
          <w:tcPr>
            <w:tcW w:w="1997" w:type="dxa"/>
            <w:tcBorders>
              <w:top w:val="single" w:color="auto" w:sz="4" w:space="0"/>
              <w:left w:val="nil"/>
              <w:bottom w:val="single" w:color="auto" w:sz="4" w:space="0"/>
              <w:right w:val="single" w:color="auto" w:sz="4" w:space="0"/>
            </w:tcBorders>
            <w:vAlign w:val="center"/>
          </w:tcPr>
          <w:p w14:paraId="0A3DDDB4">
            <w:pPr>
              <w:adjustRightInd w:val="0"/>
              <w:spacing w:line="480" w:lineRule="exact"/>
              <w:jc w:val="center"/>
              <w:textAlignment w:val="baseline"/>
              <w:rPr>
                <w:rFonts w:ascii="宋体" w:cs="宋体"/>
                <w:sz w:val="24"/>
                <w:szCs w:val="24"/>
              </w:rPr>
            </w:pPr>
            <w:r>
              <w:rPr>
                <w:rFonts w:hint="eastAsia" w:ascii="宋体" w:hAnsi="宋体" w:cs="宋体"/>
                <w:sz w:val="24"/>
                <w:szCs w:val="24"/>
              </w:rPr>
              <w:t>开标程序</w:t>
            </w:r>
          </w:p>
        </w:tc>
        <w:tc>
          <w:tcPr>
            <w:tcW w:w="7158" w:type="dxa"/>
            <w:tcBorders>
              <w:top w:val="single" w:color="auto" w:sz="4" w:space="0"/>
              <w:left w:val="nil"/>
              <w:bottom w:val="single" w:color="auto" w:sz="4" w:space="0"/>
              <w:right w:val="single" w:color="auto" w:sz="4" w:space="0"/>
            </w:tcBorders>
            <w:vAlign w:val="center"/>
          </w:tcPr>
          <w:p w14:paraId="026EF56C">
            <w:pPr>
              <w:spacing w:line="480" w:lineRule="exact"/>
              <w:jc w:val="left"/>
              <w:rPr>
                <w:rFonts w:hint="eastAsia" w:ascii="宋体" w:hAnsi="宋体" w:cs="宋体"/>
                <w:sz w:val="24"/>
                <w:szCs w:val="24"/>
              </w:rPr>
            </w:pPr>
            <w:r>
              <w:rPr>
                <w:rFonts w:hint="eastAsia" w:cs="宋体" w:asciiTheme="minorEastAsia" w:hAnsiTheme="minorEastAsia" w:eastAsiaTheme="minorEastAsia"/>
                <w:sz w:val="24"/>
                <w:szCs w:val="24"/>
              </w:rPr>
              <w:t>（1）</w:t>
            </w:r>
            <w:r>
              <w:rPr>
                <w:rFonts w:ascii="宋体" w:hAnsi="宋体" w:cs="宋体"/>
                <w:sz w:val="24"/>
                <w:szCs w:val="24"/>
              </w:rPr>
              <w:t>宣布开标纪律；</w:t>
            </w:r>
          </w:p>
          <w:p w14:paraId="75C9D818">
            <w:pPr>
              <w:spacing w:line="4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（2）使用电子评标方式评标的，按规定对加密响应文件予以解密；</w:t>
            </w:r>
          </w:p>
          <w:p w14:paraId="5B7402D6">
            <w:pPr>
              <w:spacing w:line="4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ascii="宋体" w:hAnsi="宋体" w:cs="宋体"/>
                <w:sz w:val="24"/>
                <w:szCs w:val="24"/>
              </w:rPr>
              <w:t>对解密后的电子响应文件进行唱标；</w:t>
            </w:r>
          </w:p>
          <w:p w14:paraId="0C9DAEBA">
            <w:pPr>
              <w:spacing w:line="48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（4）开标结束。</w:t>
            </w:r>
          </w:p>
        </w:tc>
      </w:tr>
      <w:tr w14:paraId="680DD6A3">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21940686">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6.1.1</w:t>
            </w:r>
          </w:p>
        </w:tc>
        <w:tc>
          <w:tcPr>
            <w:tcW w:w="1997" w:type="dxa"/>
            <w:tcBorders>
              <w:top w:val="single" w:color="auto" w:sz="4" w:space="0"/>
              <w:left w:val="nil"/>
              <w:bottom w:val="single" w:color="auto" w:sz="4" w:space="0"/>
              <w:right w:val="single" w:color="auto" w:sz="4" w:space="0"/>
            </w:tcBorders>
            <w:vAlign w:val="center"/>
          </w:tcPr>
          <w:p w14:paraId="46CB183F">
            <w:pPr>
              <w:adjustRightInd w:val="0"/>
              <w:spacing w:line="480" w:lineRule="exact"/>
              <w:jc w:val="center"/>
              <w:textAlignment w:val="baseline"/>
              <w:rPr>
                <w:rFonts w:ascii="宋体" w:cs="宋体"/>
                <w:sz w:val="24"/>
                <w:szCs w:val="24"/>
              </w:rPr>
            </w:pPr>
            <w:r>
              <w:rPr>
                <w:rFonts w:hint="eastAsia" w:ascii="宋体" w:hAnsi="宋体" w:cs="宋体"/>
                <w:sz w:val="24"/>
                <w:szCs w:val="24"/>
              </w:rPr>
              <w:t>磋商小组的组建</w:t>
            </w:r>
          </w:p>
        </w:tc>
        <w:tc>
          <w:tcPr>
            <w:tcW w:w="7158" w:type="dxa"/>
            <w:tcBorders>
              <w:top w:val="single" w:color="auto" w:sz="4" w:space="0"/>
              <w:left w:val="nil"/>
              <w:bottom w:val="single" w:color="auto" w:sz="4" w:space="0"/>
              <w:right w:val="single" w:color="auto" w:sz="4" w:space="0"/>
            </w:tcBorders>
            <w:vAlign w:val="center"/>
          </w:tcPr>
          <w:p w14:paraId="786E135B">
            <w:pPr>
              <w:widowControl/>
              <w:spacing w:line="480" w:lineRule="exact"/>
              <w:jc w:val="left"/>
              <w:rPr>
                <w:rFonts w:ascii="宋体" w:cs="宋体"/>
                <w:sz w:val="24"/>
                <w:szCs w:val="24"/>
              </w:rPr>
            </w:pPr>
            <w:r>
              <w:rPr>
                <w:rFonts w:hint="eastAsia" w:ascii="宋体" w:hAnsi="宋体" w:cs="宋体"/>
                <w:sz w:val="24"/>
                <w:szCs w:val="24"/>
              </w:rPr>
              <w:t>磋商小组构成：3人，其中采购人代表</w:t>
            </w:r>
            <w:r>
              <w:rPr>
                <w:rFonts w:ascii="宋体" w:hAnsi="宋体" w:cs="宋体"/>
                <w:sz w:val="24"/>
                <w:szCs w:val="24"/>
              </w:rPr>
              <w:t>1</w:t>
            </w:r>
            <w:r>
              <w:rPr>
                <w:rFonts w:hint="eastAsia" w:ascii="宋体" w:hAnsi="宋体" w:cs="宋体"/>
                <w:sz w:val="24"/>
                <w:szCs w:val="24"/>
              </w:rPr>
              <w:t>人，经济、技术等方面专家2人，包含经济1人，技术1人。</w:t>
            </w:r>
          </w:p>
          <w:p w14:paraId="31E98E88">
            <w:pPr>
              <w:adjustRightInd w:val="0"/>
              <w:spacing w:line="480" w:lineRule="exact"/>
              <w:textAlignment w:val="baseline"/>
              <w:rPr>
                <w:rFonts w:ascii="宋体" w:cs="宋体"/>
                <w:sz w:val="24"/>
                <w:szCs w:val="24"/>
              </w:rPr>
            </w:pPr>
            <w:r>
              <w:rPr>
                <w:rFonts w:hint="eastAsia" w:ascii="宋体" w:hAnsi="宋体" w:cs="宋体"/>
                <w:sz w:val="24"/>
                <w:szCs w:val="24"/>
              </w:rPr>
              <w:t>评标专家确定方式：从省级评审专家库中，通过随机方式抽取评审专家。参与评标的采购人代表由业主单位委托担任。</w:t>
            </w:r>
          </w:p>
        </w:tc>
      </w:tr>
      <w:tr w14:paraId="2F6BEE92">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75F0263E">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7.1</w:t>
            </w:r>
          </w:p>
        </w:tc>
        <w:tc>
          <w:tcPr>
            <w:tcW w:w="1997" w:type="dxa"/>
            <w:tcBorders>
              <w:top w:val="single" w:color="auto" w:sz="4" w:space="0"/>
              <w:left w:val="single" w:color="auto" w:sz="4" w:space="0"/>
              <w:bottom w:val="single" w:color="auto" w:sz="4" w:space="0"/>
              <w:right w:val="single" w:color="auto" w:sz="4" w:space="0"/>
            </w:tcBorders>
            <w:vAlign w:val="center"/>
          </w:tcPr>
          <w:p w14:paraId="18F82278">
            <w:pPr>
              <w:adjustRightInd w:val="0"/>
              <w:spacing w:line="480" w:lineRule="exact"/>
              <w:jc w:val="center"/>
              <w:textAlignment w:val="baseline"/>
              <w:rPr>
                <w:rFonts w:ascii="宋体" w:cs="宋体"/>
                <w:sz w:val="24"/>
                <w:szCs w:val="24"/>
              </w:rPr>
            </w:pPr>
            <w:r>
              <w:rPr>
                <w:rFonts w:hint="eastAsia" w:ascii="宋体" w:hAnsi="宋体" w:cs="宋体"/>
                <w:sz w:val="24"/>
                <w:szCs w:val="24"/>
              </w:rPr>
              <w:t>是否授权磋商小组确定成交供应商</w:t>
            </w:r>
          </w:p>
        </w:tc>
        <w:tc>
          <w:tcPr>
            <w:tcW w:w="7158" w:type="dxa"/>
            <w:tcBorders>
              <w:top w:val="single" w:color="auto" w:sz="4" w:space="0"/>
              <w:left w:val="single" w:color="auto" w:sz="4" w:space="0"/>
              <w:bottom w:val="single" w:color="auto" w:sz="4" w:space="0"/>
              <w:right w:val="single" w:color="auto" w:sz="4" w:space="0"/>
            </w:tcBorders>
            <w:vAlign w:val="center"/>
          </w:tcPr>
          <w:p w14:paraId="024F1882">
            <w:pPr>
              <w:adjustRightInd w:val="0"/>
              <w:spacing w:line="480" w:lineRule="exact"/>
              <w:textAlignment w:val="baseline"/>
              <w:rPr>
                <w:rFonts w:ascii="宋体" w:cs="宋体"/>
                <w:sz w:val="24"/>
                <w:szCs w:val="24"/>
              </w:rPr>
            </w:pPr>
            <w:r>
              <w:rPr>
                <w:rFonts w:hint="eastAsia" w:ascii="宋体" w:hAnsi="宋体" w:cs="宋体"/>
                <w:sz w:val="24"/>
                <w:szCs w:val="24"/>
              </w:rPr>
              <w:t>否，推荐的成交供应商数：</w:t>
            </w:r>
            <w:r>
              <w:rPr>
                <w:rFonts w:hint="eastAsia" w:ascii="宋体" w:hAnsi="宋体" w:cs="宋体"/>
                <w:sz w:val="24"/>
                <w:szCs w:val="24"/>
                <w:u w:val="single"/>
              </w:rPr>
              <w:t>3</w:t>
            </w:r>
          </w:p>
        </w:tc>
      </w:tr>
      <w:tr w14:paraId="03A0BAB5">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5AAC2B7C">
            <w:pPr>
              <w:adjustRightInd w:val="0"/>
              <w:spacing w:line="480" w:lineRule="exact"/>
              <w:jc w:val="center"/>
              <w:textAlignment w:val="baseline"/>
              <w:rPr>
                <w:rFonts w:hint="eastAsia" w:ascii="宋体" w:hAnsi="宋体" w:cs="宋体"/>
                <w:sz w:val="24"/>
                <w:szCs w:val="24"/>
              </w:rPr>
            </w:pPr>
            <w:r>
              <w:rPr>
                <w:rFonts w:ascii="宋体" w:hAnsi="宋体" w:cs="宋体"/>
                <w:sz w:val="24"/>
                <w:szCs w:val="24"/>
              </w:rPr>
              <w:t>10</w:t>
            </w:r>
          </w:p>
        </w:tc>
        <w:tc>
          <w:tcPr>
            <w:tcW w:w="9155" w:type="dxa"/>
            <w:gridSpan w:val="2"/>
            <w:tcBorders>
              <w:top w:val="single" w:color="auto" w:sz="4" w:space="0"/>
              <w:left w:val="single" w:color="auto" w:sz="4" w:space="0"/>
              <w:bottom w:val="single" w:color="auto" w:sz="4" w:space="0"/>
              <w:right w:val="single" w:color="auto" w:sz="4" w:space="0"/>
            </w:tcBorders>
            <w:vAlign w:val="center"/>
          </w:tcPr>
          <w:p w14:paraId="1A0D19BA">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需要补充的其他内容</w:t>
            </w:r>
          </w:p>
        </w:tc>
      </w:tr>
      <w:tr w14:paraId="540BCF60">
        <w:tblPrEx>
          <w:tblCellMar>
            <w:top w:w="0" w:type="dxa"/>
            <w:left w:w="108" w:type="dxa"/>
            <w:bottom w:w="0" w:type="dxa"/>
            <w:right w:w="108" w:type="dxa"/>
          </w:tblCellMar>
        </w:tblPrEx>
        <w:trPr>
          <w:trHeight w:val="647" w:hRule="atLeast"/>
        </w:trPr>
        <w:tc>
          <w:tcPr>
            <w:tcW w:w="963" w:type="dxa"/>
            <w:tcBorders>
              <w:top w:val="single" w:color="auto" w:sz="4" w:space="0"/>
              <w:left w:val="single" w:color="auto" w:sz="4" w:space="0"/>
              <w:bottom w:val="single" w:color="auto" w:sz="4" w:space="0"/>
              <w:right w:val="single" w:color="auto" w:sz="4" w:space="0"/>
            </w:tcBorders>
            <w:vAlign w:val="center"/>
          </w:tcPr>
          <w:p w14:paraId="482765D4">
            <w:pPr>
              <w:adjustRightInd w:val="0"/>
              <w:spacing w:line="480" w:lineRule="exact"/>
              <w:jc w:val="center"/>
              <w:textAlignment w:val="baseline"/>
              <w:rPr>
                <w:rFonts w:hint="eastAsia" w:ascii="宋体" w:hAnsi="宋体" w:cs="宋体"/>
                <w:sz w:val="24"/>
                <w:szCs w:val="24"/>
              </w:rPr>
            </w:pPr>
            <w:r>
              <w:rPr>
                <w:rFonts w:hint="eastAsia" w:ascii="宋体" w:hAnsi="宋体" w:cs="宋体"/>
                <w:sz w:val="24"/>
                <w:szCs w:val="24"/>
              </w:rPr>
              <w:t>10.</w:t>
            </w:r>
            <w:r>
              <w:rPr>
                <w:rFonts w:ascii="宋体" w:hAnsi="宋体" w:cs="宋体"/>
                <w:sz w:val="24"/>
                <w:szCs w:val="24"/>
              </w:rPr>
              <w:t>1</w:t>
            </w:r>
          </w:p>
        </w:tc>
        <w:tc>
          <w:tcPr>
            <w:tcW w:w="1997" w:type="dxa"/>
            <w:tcBorders>
              <w:top w:val="single" w:color="auto" w:sz="4" w:space="0"/>
              <w:left w:val="nil"/>
              <w:bottom w:val="single" w:color="auto" w:sz="4" w:space="0"/>
              <w:right w:val="single" w:color="auto" w:sz="4" w:space="0"/>
            </w:tcBorders>
            <w:vAlign w:val="center"/>
          </w:tcPr>
          <w:p w14:paraId="2A7A5913">
            <w:pPr>
              <w:spacing w:line="480" w:lineRule="exact"/>
              <w:jc w:val="center"/>
              <w:rPr>
                <w:rFonts w:ascii="宋体" w:cs="宋体"/>
                <w:sz w:val="24"/>
                <w:szCs w:val="24"/>
              </w:rPr>
            </w:pPr>
            <w:r>
              <w:rPr>
                <w:rFonts w:hint="eastAsia" w:ascii="宋体" w:hAnsi="宋体" w:cs="宋体"/>
                <w:sz w:val="24"/>
                <w:szCs w:val="24"/>
              </w:rPr>
              <w:t>招标控制价</w:t>
            </w:r>
          </w:p>
        </w:tc>
        <w:tc>
          <w:tcPr>
            <w:tcW w:w="7158" w:type="dxa"/>
            <w:tcBorders>
              <w:top w:val="single" w:color="auto" w:sz="4" w:space="0"/>
              <w:left w:val="nil"/>
              <w:bottom w:val="single" w:color="auto" w:sz="4" w:space="0"/>
              <w:right w:val="single" w:color="auto" w:sz="4" w:space="0"/>
            </w:tcBorders>
            <w:vAlign w:val="center"/>
          </w:tcPr>
          <w:p w14:paraId="32B7E653">
            <w:pPr>
              <w:spacing w:line="480" w:lineRule="exact"/>
              <w:rPr>
                <w:rStyle w:val="31"/>
                <w:rFonts w:hint="eastAsia" w:ascii="宋体" w:hAnsi="宋体" w:cs="宋体"/>
                <w:sz w:val="24"/>
                <w:szCs w:val="24"/>
              </w:rPr>
            </w:pPr>
            <w:r>
              <w:rPr>
                <w:rFonts w:hint="eastAsia" w:ascii="宋体" w:hAnsi="宋体" w:cs="宋体"/>
                <w:bCs/>
                <w:color w:val="FF0000"/>
                <w:sz w:val="24"/>
                <w:szCs w:val="24"/>
              </w:rPr>
              <w:t>招标控制价为：</w:t>
            </w:r>
            <w:r>
              <w:rPr>
                <w:rFonts w:hint="eastAsia" w:ascii="宋体" w:hAnsi="宋体" w:cs="宋体"/>
                <w:bCs/>
                <w:color w:val="FF0000"/>
                <w:sz w:val="24"/>
                <w:szCs w:val="24"/>
                <w:lang w:val="en-US" w:eastAsia="zh-CN"/>
              </w:rPr>
              <w:t>845500.00</w:t>
            </w:r>
            <w:r>
              <w:rPr>
                <w:rFonts w:hint="eastAsia" w:ascii="宋体" w:hAnsi="宋体" w:cs="宋体"/>
                <w:bCs/>
                <w:color w:val="FF0000"/>
                <w:sz w:val="24"/>
                <w:szCs w:val="24"/>
              </w:rPr>
              <w:t xml:space="preserve">元人民币。（磋商报价高于招标控制价的按废标处理）。  </w:t>
            </w:r>
            <w:r>
              <w:rPr>
                <w:rFonts w:hint="eastAsia" w:ascii="宋体" w:hAnsi="宋体" w:cs="宋体"/>
                <w:bCs/>
                <w:sz w:val="24"/>
                <w:szCs w:val="24"/>
              </w:rPr>
              <w:t xml:space="preserve"> </w:t>
            </w:r>
          </w:p>
        </w:tc>
      </w:tr>
      <w:tr w14:paraId="5B859915">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641F6BD1">
            <w:pPr>
              <w:spacing w:line="480" w:lineRule="exact"/>
              <w:jc w:val="center"/>
              <w:rPr>
                <w:rFonts w:ascii="宋体" w:cs="宋体"/>
                <w:sz w:val="24"/>
                <w:szCs w:val="24"/>
              </w:rPr>
            </w:pPr>
            <w:r>
              <w:rPr>
                <w:rFonts w:ascii="宋体" w:hAnsi="宋体" w:cs="宋体"/>
                <w:sz w:val="24"/>
                <w:szCs w:val="24"/>
              </w:rPr>
              <w:t>10.</w:t>
            </w:r>
            <w:r>
              <w:rPr>
                <w:rFonts w:hint="eastAsia" w:ascii="宋体" w:hAnsi="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vAlign w:val="center"/>
          </w:tcPr>
          <w:p w14:paraId="247817E1">
            <w:pPr>
              <w:spacing w:line="480" w:lineRule="exact"/>
              <w:jc w:val="center"/>
              <w:rPr>
                <w:rFonts w:ascii="宋体" w:cs="宋体"/>
                <w:sz w:val="24"/>
                <w:szCs w:val="24"/>
              </w:rPr>
            </w:pPr>
            <w:r>
              <w:rPr>
                <w:rFonts w:hint="eastAsia" w:ascii="宋体" w:hAnsi="宋体" w:cs="宋体"/>
                <w:kern w:val="0"/>
                <w:sz w:val="24"/>
                <w:szCs w:val="24"/>
              </w:rPr>
              <w:t>中标公告的发布</w:t>
            </w:r>
          </w:p>
        </w:tc>
        <w:tc>
          <w:tcPr>
            <w:tcW w:w="7158" w:type="dxa"/>
            <w:tcBorders>
              <w:top w:val="single" w:color="auto" w:sz="4" w:space="0"/>
              <w:left w:val="single" w:color="auto" w:sz="4" w:space="0"/>
              <w:bottom w:val="single" w:color="auto" w:sz="4" w:space="0"/>
              <w:right w:val="single" w:color="auto" w:sz="4" w:space="0"/>
            </w:tcBorders>
            <w:vAlign w:val="center"/>
          </w:tcPr>
          <w:p w14:paraId="2E38DC3F">
            <w:pPr>
              <w:autoSpaceDE w:val="0"/>
              <w:autoSpaceDN w:val="0"/>
              <w:adjustRightInd w:val="0"/>
              <w:spacing w:line="480" w:lineRule="exact"/>
              <w:ind w:firstLine="480" w:firstLineChars="200"/>
              <w:rPr>
                <w:rFonts w:hint="eastAsia" w:ascii="宋体" w:hAnsi="宋体" w:cs="宋体"/>
                <w:sz w:val="24"/>
                <w:szCs w:val="24"/>
              </w:rPr>
            </w:pPr>
            <w:r>
              <w:rPr>
                <w:rFonts w:hint="eastAsia" w:ascii="宋体" w:hAnsi="宋体" w:cs="宋体"/>
                <w:sz w:val="24"/>
                <w:szCs w:val="24"/>
              </w:rPr>
              <w:t>公告媒介：</w:t>
            </w:r>
            <w:r>
              <w:rPr>
                <w:rFonts w:ascii="宋体" w:hAnsi="宋体" w:cs="宋体"/>
                <w:sz w:val="24"/>
                <w:szCs w:val="24"/>
              </w:rPr>
              <w:t>同</w:t>
            </w:r>
            <w:r>
              <w:rPr>
                <w:rFonts w:hint="eastAsia" w:cs="宋体" w:asciiTheme="minorEastAsia" w:hAnsiTheme="minorEastAsia" w:eastAsiaTheme="minorEastAsia"/>
                <w:sz w:val="24"/>
                <w:szCs w:val="24"/>
              </w:rPr>
              <w:t>竞争性磋商</w:t>
            </w:r>
            <w:r>
              <w:rPr>
                <w:rFonts w:ascii="宋体" w:hAnsi="宋体" w:cs="宋体"/>
                <w:sz w:val="24"/>
                <w:szCs w:val="24"/>
              </w:rPr>
              <w:t>公告媒介</w:t>
            </w:r>
          </w:p>
          <w:p w14:paraId="566617A1">
            <w:pPr>
              <w:autoSpaceDE w:val="0"/>
              <w:autoSpaceDN w:val="0"/>
              <w:adjustRightInd w:val="0"/>
              <w:spacing w:line="480" w:lineRule="exact"/>
              <w:ind w:firstLine="480" w:firstLineChars="200"/>
              <w:rPr>
                <w:rFonts w:hint="eastAsia" w:ascii="宋体" w:hAnsi="宋体" w:cs="宋体"/>
                <w:sz w:val="24"/>
                <w:szCs w:val="24"/>
              </w:rPr>
            </w:pPr>
            <w:r>
              <w:rPr>
                <w:rFonts w:hint="eastAsia" w:ascii="宋体" w:hAnsi="宋体" w:cs="宋体"/>
                <w:sz w:val="24"/>
                <w:szCs w:val="24"/>
              </w:rPr>
              <w:t>公告</w:t>
            </w:r>
            <w:r>
              <w:rPr>
                <w:rFonts w:ascii="宋体" w:hAnsi="宋体" w:cs="宋体"/>
                <w:sz w:val="24"/>
                <w:szCs w:val="24"/>
              </w:rPr>
              <w:t>期限：</w:t>
            </w:r>
            <w:r>
              <w:rPr>
                <w:rFonts w:hint="eastAsia" w:ascii="宋体" w:hAnsi="宋体" w:cs="宋体"/>
                <w:sz w:val="24"/>
                <w:szCs w:val="24"/>
              </w:rPr>
              <w:t>采购人应在评标结果当天定标，并在评标结束之日起1个工作日内（不含当日）发布结果公告，同时发出成交通知书。</w:t>
            </w:r>
          </w:p>
          <w:p w14:paraId="25A564EA">
            <w:pPr>
              <w:autoSpaceDE w:val="0"/>
              <w:autoSpaceDN w:val="0"/>
              <w:adjustRightInd w:val="0"/>
              <w:spacing w:line="480" w:lineRule="exact"/>
              <w:ind w:firstLine="480" w:firstLineChars="200"/>
              <w:rPr>
                <w:rFonts w:ascii="宋体" w:cs="宋体"/>
                <w:kern w:val="0"/>
                <w:sz w:val="24"/>
                <w:szCs w:val="24"/>
              </w:rPr>
            </w:pPr>
            <w:r>
              <w:rPr>
                <w:rFonts w:hint="eastAsia" w:ascii="宋体" w:hAnsi="宋体" w:cs="宋体"/>
                <w:kern w:val="0"/>
                <w:sz w:val="24"/>
                <w:szCs w:val="24"/>
              </w:rPr>
              <w:t>采购人依据成交通知书等相关资料，在法律规定的期限内按照</w:t>
            </w:r>
            <w:r>
              <w:rPr>
                <w:rFonts w:hint="eastAsia" w:hAnsi="宋体" w:cs="宋体"/>
                <w:sz w:val="24"/>
                <w:szCs w:val="24"/>
              </w:rPr>
              <w:t>竞争性磋商文件</w:t>
            </w:r>
            <w:r>
              <w:rPr>
                <w:rFonts w:hint="eastAsia" w:ascii="宋体" w:hAnsi="宋体" w:cs="宋体"/>
                <w:kern w:val="0"/>
                <w:sz w:val="24"/>
                <w:szCs w:val="24"/>
              </w:rPr>
              <w:t>及中标供应商的响应文件签订书面合同。并在合同签订后</w:t>
            </w:r>
            <w:r>
              <w:rPr>
                <w:rFonts w:ascii="宋体" w:hAnsi="宋体" w:cs="宋体"/>
                <w:kern w:val="0"/>
                <w:sz w:val="24"/>
                <w:szCs w:val="24"/>
              </w:rPr>
              <w:t>2</w:t>
            </w:r>
            <w:r>
              <w:rPr>
                <w:rFonts w:hint="eastAsia" w:ascii="宋体" w:hAnsi="宋体" w:cs="宋体"/>
                <w:kern w:val="0"/>
                <w:sz w:val="24"/>
                <w:szCs w:val="24"/>
              </w:rPr>
              <w:t>个工作日内在财政部门指定的媒体上公告。</w:t>
            </w:r>
          </w:p>
          <w:p w14:paraId="551D2E49">
            <w:pPr>
              <w:pStyle w:val="59"/>
              <w:spacing w:before="0" w:beforeAutospacing="0" w:line="480" w:lineRule="exact"/>
              <w:ind w:firstLine="480" w:firstLineChars="200"/>
              <w:rPr>
                <w:rFonts w:ascii="宋体" w:cs="宋体"/>
              </w:rPr>
            </w:pPr>
            <w:r>
              <w:rPr>
                <w:rFonts w:hint="eastAsia" w:ascii="宋体" w:hAnsi="宋体" w:cs="宋体"/>
              </w:rPr>
              <w:t>各有关当事人对中标结果有异议的，可以在成交公告期限结束之日起七个工作日内，以书面形式向采购人和采购代理机构提出质疑（加盖单位公章且法人签字），由法定代表人或其授权委托人携带企业营业执照复印件（加盖公章）及本人身份证原件一并提交（邮寄、传真件不予受理），并以质疑函接受确认日期作为受理时间。逾期未提交或未按照要求提交的质疑函将不予受理。</w:t>
            </w:r>
          </w:p>
        </w:tc>
      </w:tr>
      <w:tr w14:paraId="73CCBDB9">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2F4EB06B">
            <w:pPr>
              <w:autoSpaceDE w:val="0"/>
              <w:autoSpaceDN w:val="0"/>
              <w:adjustRightInd w:val="0"/>
              <w:spacing w:line="480" w:lineRule="exact"/>
              <w:jc w:val="center"/>
              <w:rPr>
                <w:rFonts w:ascii="宋体" w:cs="宋体"/>
                <w:sz w:val="24"/>
                <w:szCs w:val="24"/>
              </w:rPr>
            </w:pPr>
            <w:r>
              <w:rPr>
                <w:rFonts w:ascii="宋体" w:hAnsi="宋体" w:cs="宋体"/>
                <w:kern w:val="0"/>
                <w:sz w:val="24"/>
                <w:szCs w:val="24"/>
              </w:rPr>
              <w:t>10.</w:t>
            </w:r>
            <w:r>
              <w:rPr>
                <w:rFonts w:hint="eastAsia" w:ascii="宋体" w:hAnsi="宋体" w:cs="宋体"/>
                <w:kern w:val="0"/>
                <w:sz w:val="24"/>
                <w:szCs w:val="24"/>
              </w:rPr>
              <w:t>3</w:t>
            </w:r>
          </w:p>
        </w:tc>
        <w:tc>
          <w:tcPr>
            <w:tcW w:w="1997" w:type="dxa"/>
            <w:tcBorders>
              <w:top w:val="single" w:color="auto" w:sz="4" w:space="0"/>
              <w:left w:val="single" w:color="auto" w:sz="4" w:space="0"/>
              <w:bottom w:val="single" w:color="auto" w:sz="4" w:space="0"/>
              <w:right w:val="single" w:color="auto" w:sz="4" w:space="0"/>
            </w:tcBorders>
            <w:vAlign w:val="center"/>
          </w:tcPr>
          <w:p w14:paraId="78D2C106">
            <w:pPr>
              <w:autoSpaceDE w:val="0"/>
              <w:autoSpaceDN w:val="0"/>
              <w:adjustRightInd w:val="0"/>
              <w:spacing w:line="480" w:lineRule="exact"/>
              <w:jc w:val="center"/>
              <w:rPr>
                <w:rFonts w:ascii="宋体" w:cs="宋体"/>
                <w:sz w:val="24"/>
                <w:szCs w:val="24"/>
              </w:rPr>
            </w:pPr>
            <w:r>
              <w:rPr>
                <w:rFonts w:hint="eastAsia" w:ascii="宋体" w:hAnsi="宋体" w:cs="宋体"/>
                <w:kern w:val="0"/>
                <w:sz w:val="24"/>
                <w:szCs w:val="24"/>
              </w:rPr>
              <w:t>知识产权</w:t>
            </w:r>
          </w:p>
        </w:tc>
        <w:tc>
          <w:tcPr>
            <w:tcW w:w="7158" w:type="dxa"/>
            <w:tcBorders>
              <w:top w:val="single" w:color="auto" w:sz="4" w:space="0"/>
              <w:left w:val="single" w:color="auto" w:sz="4" w:space="0"/>
              <w:bottom w:val="single" w:color="auto" w:sz="4" w:space="0"/>
              <w:right w:val="single" w:color="auto" w:sz="4" w:space="0"/>
            </w:tcBorders>
            <w:vAlign w:val="center"/>
          </w:tcPr>
          <w:p w14:paraId="4844004F">
            <w:pPr>
              <w:autoSpaceDE w:val="0"/>
              <w:autoSpaceDN w:val="0"/>
              <w:adjustRightInd w:val="0"/>
              <w:spacing w:line="480" w:lineRule="exact"/>
              <w:ind w:firstLine="480" w:firstLineChars="200"/>
              <w:rPr>
                <w:rFonts w:ascii="宋体" w:cs="宋体"/>
                <w:sz w:val="24"/>
                <w:szCs w:val="24"/>
              </w:rPr>
            </w:pPr>
            <w:r>
              <w:rPr>
                <w:rFonts w:hint="eastAsia" w:ascii="宋体" w:hAnsi="宋体" w:cs="宋体"/>
                <w:kern w:val="0"/>
                <w:sz w:val="24"/>
                <w:szCs w:val="24"/>
              </w:rPr>
              <w:t>构成本</w:t>
            </w:r>
            <w:r>
              <w:rPr>
                <w:rFonts w:hint="eastAsia" w:hAnsi="宋体" w:cs="宋体"/>
                <w:sz w:val="24"/>
                <w:szCs w:val="24"/>
              </w:rPr>
              <w:t>竞争性磋商文件</w:t>
            </w:r>
            <w:r>
              <w:rPr>
                <w:rFonts w:hint="eastAsia" w:ascii="宋体" w:hAnsi="宋体" w:cs="宋体"/>
                <w:kern w:val="0"/>
                <w:sz w:val="24"/>
                <w:szCs w:val="24"/>
              </w:rPr>
              <w:t>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36D8DA16">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1097590C">
            <w:pPr>
              <w:spacing w:line="480" w:lineRule="exact"/>
              <w:jc w:val="center"/>
              <w:rPr>
                <w:rFonts w:ascii="宋体" w:cs="宋体"/>
                <w:sz w:val="24"/>
                <w:szCs w:val="24"/>
              </w:rPr>
            </w:pPr>
            <w:r>
              <w:rPr>
                <w:rFonts w:ascii="宋体" w:hAnsi="宋体" w:cs="宋体"/>
                <w:sz w:val="24"/>
                <w:szCs w:val="24"/>
              </w:rPr>
              <w:t>10.</w:t>
            </w:r>
            <w:r>
              <w:rPr>
                <w:rFonts w:hint="eastAsia" w:ascii="宋体" w:hAnsi="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vAlign w:val="center"/>
          </w:tcPr>
          <w:p w14:paraId="193FD822">
            <w:pPr>
              <w:autoSpaceDE w:val="0"/>
              <w:autoSpaceDN w:val="0"/>
              <w:adjustRightInd w:val="0"/>
              <w:spacing w:line="480" w:lineRule="exact"/>
              <w:jc w:val="center"/>
              <w:rPr>
                <w:rFonts w:ascii="宋体" w:cs="宋体"/>
                <w:sz w:val="24"/>
                <w:szCs w:val="24"/>
              </w:rPr>
            </w:pPr>
            <w:r>
              <w:rPr>
                <w:rFonts w:ascii="宋体" w:hAnsi="宋体" w:cs="宋体"/>
                <w:sz w:val="24"/>
                <w:szCs w:val="24"/>
              </w:rPr>
              <w:t>质疑与投诉</w:t>
            </w:r>
          </w:p>
        </w:tc>
        <w:tc>
          <w:tcPr>
            <w:tcW w:w="7158" w:type="dxa"/>
            <w:tcBorders>
              <w:top w:val="single" w:color="auto" w:sz="4" w:space="0"/>
              <w:left w:val="single" w:color="auto" w:sz="4" w:space="0"/>
              <w:bottom w:val="single" w:color="auto" w:sz="4" w:space="0"/>
              <w:right w:val="single" w:color="auto" w:sz="4" w:space="0"/>
            </w:tcBorders>
            <w:vAlign w:val="center"/>
          </w:tcPr>
          <w:p w14:paraId="415361B9">
            <w:pPr>
              <w:autoSpaceDE w:val="0"/>
              <w:autoSpaceDN w:val="0"/>
              <w:adjustRightInd w:val="0"/>
              <w:spacing w:line="480" w:lineRule="exact"/>
              <w:ind w:firstLine="480" w:firstLineChars="200"/>
              <w:rPr>
                <w:rFonts w:ascii="宋体" w:cs="宋体"/>
                <w:sz w:val="24"/>
                <w:szCs w:val="24"/>
              </w:rPr>
            </w:pPr>
            <w:r>
              <w:rPr>
                <w:rFonts w:ascii="宋体" w:hAnsi="宋体" w:cs="宋体"/>
                <w:sz w:val="24"/>
                <w:szCs w:val="24"/>
              </w:rPr>
              <w:t>按《政府采购质疑和投诉办法》（中华人民共和国财政部令第 94 号）规定</w:t>
            </w:r>
            <w:r>
              <w:rPr>
                <w:rFonts w:hint="eastAsia" w:ascii="宋体" w:hAnsi="宋体" w:cs="宋体"/>
                <w:sz w:val="24"/>
                <w:szCs w:val="24"/>
              </w:rPr>
              <w:t>执行。</w:t>
            </w:r>
          </w:p>
        </w:tc>
      </w:tr>
      <w:tr w14:paraId="42BBB7F1">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38335CB4">
            <w:pPr>
              <w:spacing w:line="48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vAlign w:val="center"/>
          </w:tcPr>
          <w:p w14:paraId="25782FA6">
            <w:pPr>
              <w:spacing w:line="480" w:lineRule="exact"/>
              <w:jc w:val="center"/>
              <w:rPr>
                <w:rFonts w:ascii="宋体" w:cs="宋体"/>
                <w:kern w:val="0"/>
                <w:sz w:val="24"/>
                <w:szCs w:val="24"/>
              </w:rPr>
            </w:pPr>
            <w:r>
              <w:rPr>
                <w:rFonts w:hint="eastAsia" w:ascii="宋体" w:hAnsi="宋体" w:cs="宋体"/>
                <w:kern w:val="0"/>
                <w:sz w:val="24"/>
                <w:szCs w:val="24"/>
              </w:rPr>
              <w:t>成交供应商承担费用</w:t>
            </w:r>
          </w:p>
        </w:tc>
        <w:tc>
          <w:tcPr>
            <w:tcW w:w="7158" w:type="dxa"/>
            <w:tcBorders>
              <w:top w:val="single" w:color="auto" w:sz="4" w:space="0"/>
              <w:left w:val="single" w:color="auto" w:sz="4" w:space="0"/>
              <w:bottom w:val="single" w:color="auto" w:sz="4" w:space="0"/>
              <w:right w:val="single" w:color="auto" w:sz="4" w:space="0"/>
            </w:tcBorders>
            <w:vAlign w:val="center"/>
          </w:tcPr>
          <w:p w14:paraId="0EC8A702">
            <w:pPr>
              <w:autoSpaceDE w:val="0"/>
              <w:autoSpaceDN w:val="0"/>
              <w:adjustRightInd w:val="0"/>
              <w:spacing w:line="480" w:lineRule="exact"/>
              <w:ind w:firstLine="480" w:firstLineChars="200"/>
              <w:rPr>
                <w:rFonts w:ascii="宋体" w:cs="宋体"/>
                <w:kern w:val="0"/>
                <w:sz w:val="24"/>
                <w:szCs w:val="24"/>
              </w:rPr>
            </w:pPr>
            <w:r>
              <w:rPr>
                <w:rFonts w:hint="eastAsia" w:ascii="宋体" w:hAnsi="宋体" w:cs="宋体"/>
                <w:kern w:val="0"/>
                <w:sz w:val="24"/>
                <w:szCs w:val="24"/>
              </w:rPr>
              <w:t>招标代理服务收费参照《河南省招标代理服务收费指导意见》（豫招协【202</w:t>
            </w:r>
            <w:r>
              <w:rPr>
                <w:rFonts w:hint="eastAsia" w:ascii="宋体" w:hAnsi="宋体" w:cs="宋体"/>
                <w:kern w:val="0"/>
                <w:sz w:val="24"/>
                <w:szCs w:val="24"/>
                <w:lang w:val="en-US" w:eastAsia="zh-CN"/>
              </w:rPr>
              <w:t>3</w:t>
            </w:r>
            <w:r>
              <w:rPr>
                <w:rFonts w:hint="eastAsia" w:ascii="宋体" w:hAnsi="宋体" w:cs="宋体"/>
                <w:kern w:val="0"/>
                <w:sz w:val="24"/>
                <w:szCs w:val="24"/>
              </w:rPr>
              <w:t>】002号）等文件规定计取，由成交单位支付。</w:t>
            </w:r>
          </w:p>
        </w:tc>
      </w:tr>
      <w:tr w14:paraId="64BC04E1">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368C6594">
            <w:pPr>
              <w:autoSpaceDE w:val="0"/>
              <w:autoSpaceDN w:val="0"/>
              <w:adjustRightInd w:val="0"/>
              <w:spacing w:line="48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vAlign w:val="center"/>
          </w:tcPr>
          <w:p w14:paraId="4321AE1D">
            <w:pPr>
              <w:autoSpaceDE w:val="0"/>
              <w:autoSpaceDN w:val="0"/>
              <w:adjustRightInd w:val="0"/>
              <w:spacing w:line="480" w:lineRule="exact"/>
              <w:jc w:val="center"/>
              <w:rPr>
                <w:rFonts w:ascii="宋体" w:cs="宋体"/>
                <w:kern w:val="0"/>
                <w:sz w:val="24"/>
                <w:szCs w:val="24"/>
              </w:rPr>
            </w:pPr>
            <w:r>
              <w:rPr>
                <w:rFonts w:hint="eastAsia" w:ascii="宋体" w:hAnsi="宋体" w:cs="宋体"/>
                <w:sz w:val="24"/>
                <w:szCs w:val="24"/>
              </w:rPr>
              <w:t>供应商的联系方式</w:t>
            </w:r>
          </w:p>
        </w:tc>
        <w:tc>
          <w:tcPr>
            <w:tcW w:w="7158" w:type="dxa"/>
            <w:tcBorders>
              <w:top w:val="single" w:color="auto" w:sz="4" w:space="0"/>
              <w:left w:val="single" w:color="auto" w:sz="4" w:space="0"/>
              <w:bottom w:val="single" w:color="auto" w:sz="4" w:space="0"/>
              <w:right w:val="single" w:color="auto" w:sz="4" w:space="0"/>
            </w:tcBorders>
          </w:tcPr>
          <w:p w14:paraId="7E217615">
            <w:pPr>
              <w:autoSpaceDE w:val="0"/>
              <w:autoSpaceDN w:val="0"/>
              <w:adjustRightInd w:val="0"/>
              <w:spacing w:line="480" w:lineRule="exact"/>
              <w:ind w:firstLine="480" w:firstLineChars="200"/>
              <w:rPr>
                <w:rFonts w:ascii="宋体" w:cs="宋体"/>
                <w:kern w:val="0"/>
                <w:sz w:val="24"/>
                <w:szCs w:val="24"/>
              </w:rPr>
            </w:pPr>
            <w:r>
              <w:rPr>
                <w:rFonts w:hint="eastAsia" w:ascii="宋体" w:hAnsi="宋体" w:cs="宋体"/>
                <w:sz w:val="24"/>
                <w:szCs w:val="24"/>
              </w:rPr>
              <w:t>自获取</w:t>
            </w:r>
            <w:r>
              <w:rPr>
                <w:rFonts w:hint="eastAsia" w:hAnsi="宋体" w:cs="宋体"/>
                <w:sz w:val="24"/>
                <w:szCs w:val="24"/>
              </w:rPr>
              <w:t>竞争性磋商文件</w:t>
            </w:r>
            <w:r>
              <w:rPr>
                <w:rFonts w:hint="eastAsia" w:ascii="宋体" w:hAnsi="宋体" w:cs="宋体"/>
                <w:sz w:val="24"/>
                <w:szCs w:val="24"/>
              </w:rPr>
              <w:t>之日起供应商应保证其提供的联系方式（电话、传真、电子邮件等）一直有效，以保证往来函件（</w:t>
            </w:r>
            <w:r>
              <w:rPr>
                <w:rFonts w:hint="eastAsia" w:hAnsi="宋体" w:cs="宋体"/>
                <w:sz w:val="24"/>
                <w:szCs w:val="24"/>
              </w:rPr>
              <w:t>竞争性磋商文件</w:t>
            </w:r>
            <w:r>
              <w:rPr>
                <w:rFonts w:hint="eastAsia" w:ascii="宋体" w:hAnsi="宋体" w:cs="宋体"/>
                <w:sz w:val="24"/>
                <w:szCs w:val="24"/>
              </w:rPr>
              <w:t>的澄清、修改等）能及时通知供应商，并能及时反馈信息，否则采购人和采购代理机构不承担由此引起的一切后果。</w:t>
            </w:r>
          </w:p>
        </w:tc>
      </w:tr>
      <w:tr w14:paraId="409639F6">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1C141251">
            <w:pPr>
              <w:autoSpaceDE w:val="0"/>
              <w:autoSpaceDN w:val="0"/>
              <w:adjustRightInd w:val="0"/>
              <w:spacing w:line="480" w:lineRule="exact"/>
              <w:jc w:val="center"/>
              <w:rPr>
                <w:rFonts w:hint="eastAsia" w:ascii="宋体" w:hAnsi="宋体" w:cs="宋体"/>
                <w:sz w:val="24"/>
                <w:szCs w:val="24"/>
              </w:rPr>
            </w:pPr>
            <w:r>
              <w:rPr>
                <w:rFonts w:ascii="宋体" w:hAnsi="宋体" w:cs="宋体"/>
                <w:sz w:val="24"/>
                <w:szCs w:val="24"/>
              </w:rPr>
              <w:t>10.</w:t>
            </w:r>
            <w:r>
              <w:rPr>
                <w:rFonts w:hint="eastAsia" w:ascii="宋体" w:hAnsi="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vAlign w:val="center"/>
          </w:tcPr>
          <w:p w14:paraId="490F7A74">
            <w:pPr>
              <w:autoSpaceDE w:val="0"/>
              <w:autoSpaceDN w:val="0"/>
              <w:adjustRightInd w:val="0"/>
              <w:spacing w:line="480" w:lineRule="exact"/>
              <w:jc w:val="center"/>
              <w:rPr>
                <w:rFonts w:ascii="宋体" w:cs="宋体"/>
                <w:kern w:val="0"/>
                <w:sz w:val="24"/>
                <w:szCs w:val="24"/>
              </w:rPr>
            </w:pPr>
            <w:r>
              <w:rPr>
                <w:rFonts w:hint="eastAsia" w:ascii="宋体" w:hAnsi="宋体" w:cs="宋体"/>
                <w:sz w:val="24"/>
                <w:szCs w:val="24"/>
              </w:rPr>
              <w:t>解释权</w:t>
            </w:r>
          </w:p>
        </w:tc>
        <w:tc>
          <w:tcPr>
            <w:tcW w:w="7158" w:type="dxa"/>
            <w:tcBorders>
              <w:top w:val="single" w:color="auto" w:sz="4" w:space="0"/>
              <w:left w:val="single" w:color="auto" w:sz="4" w:space="0"/>
              <w:bottom w:val="single" w:color="auto" w:sz="4" w:space="0"/>
              <w:right w:val="single" w:color="auto" w:sz="4" w:space="0"/>
            </w:tcBorders>
            <w:vAlign w:val="center"/>
          </w:tcPr>
          <w:p w14:paraId="71D9837D">
            <w:pPr>
              <w:autoSpaceDE w:val="0"/>
              <w:autoSpaceDN w:val="0"/>
              <w:adjustRightInd w:val="0"/>
              <w:spacing w:line="480" w:lineRule="exact"/>
              <w:ind w:firstLine="480" w:firstLineChars="200"/>
              <w:rPr>
                <w:rFonts w:hint="eastAsia" w:ascii="宋体" w:hAnsi="宋体" w:cs="宋体"/>
                <w:sz w:val="24"/>
                <w:szCs w:val="24"/>
              </w:rPr>
            </w:pPr>
            <w:r>
              <w:rPr>
                <w:rFonts w:hint="eastAsia" w:ascii="宋体" w:hAnsi="宋体" w:cs="宋体"/>
                <w:sz w:val="24"/>
                <w:szCs w:val="24"/>
              </w:rPr>
              <w:t>构成本</w:t>
            </w:r>
            <w:r>
              <w:rPr>
                <w:rFonts w:hint="eastAsia" w:hAnsi="宋体" w:cs="宋体"/>
                <w:sz w:val="24"/>
                <w:szCs w:val="24"/>
              </w:rPr>
              <w:t>竞争性磋商文件</w:t>
            </w:r>
            <w:r>
              <w:rPr>
                <w:rFonts w:hint="eastAsia" w:ascii="宋体" w:hAnsi="宋体" w:cs="宋体"/>
                <w:sz w:val="24"/>
                <w:szCs w:val="24"/>
              </w:rPr>
              <w:t>的各个组成文件应互为解释，互为说明；如有不明确或不一致，构成合同文件组成内容的，以合同文件约定内容为准，且以专用合同条款约定的合同文件优先顺序解释；除</w:t>
            </w:r>
            <w:r>
              <w:rPr>
                <w:rFonts w:hint="eastAsia" w:hAnsi="宋体" w:cs="宋体"/>
                <w:sz w:val="24"/>
                <w:szCs w:val="24"/>
              </w:rPr>
              <w:t>竞争性磋商文件</w:t>
            </w:r>
            <w:r>
              <w:rPr>
                <w:rFonts w:hint="eastAsia" w:ascii="宋体" w:hAnsi="宋体" w:cs="宋体"/>
                <w:sz w:val="24"/>
                <w:szCs w:val="24"/>
              </w:rPr>
              <w:t>中有特别规定外，仅适用于招标投标阶段的规定，按</w:t>
            </w:r>
            <w:r>
              <w:rPr>
                <w:rFonts w:hint="eastAsia" w:cs="宋体" w:asciiTheme="minorEastAsia" w:hAnsiTheme="minorEastAsia" w:eastAsiaTheme="minorEastAsia"/>
                <w:sz w:val="24"/>
                <w:szCs w:val="24"/>
              </w:rPr>
              <w:t>竞争性磋商</w:t>
            </w:r>
            <w:r>
              <w:rPr>
                <w:rFonts w:hint="eastAsia" w:ascii="宋体" w:hAnsi="宋体" w:cs="宋体"/>
                <w:sz w:val="24"/>
                <w:szCs w:val="24"/>
              </w:rPr>
              <w:t>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24EC3E2">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5E3A6D67">
            <w:pPr>
              <w:autoSpaceDE w:val="0"/>
              <w:autoSpaceDN w:val="0"/>
              <w:adjustRightInd w:val="0"/>
              <w:spacing w:line="480" w:lineRule="exact"/>
              <w:jc w:val="center"/>
              <w:rPr>
                <w:rFonts w:hint="eastAsia" w:ascii="宋体" w:hAnsi="宋体" w:cs="宋体"/>
                <w:sz w:val="24"/>
                <w:szCs w:val="24"/>
              </w:rPr>
            </w:pPr>
            <w:r>
              <w:rPr>
                <w:rFonts w:hint="eastAsia" w:ascii="宋体" w:hAnsi="宋体" w:cs="宋体"/>
                <w:sz w:val="24"/>
                <w:szCs w:val="24"/>
              </w:rPr>
              <w:t>10.8</w:t>
            </w:r>
          </w:p>
        </w:tc>
        <w:tc>
          <w:tcPr>
            <w:tcW w:w="1997" w:type="dxa"/>
            <w:tcBorders>
              <w:top w:val="single" w:color="auto" w:sz="4" w:space="0"/>
              <w:left w:val="single" w:color="auto" w:sz="4" w:space="0"/>
              <w:bottom w:val="single" w:color="auto" w:sz="4" w:space="0"/>
              <w:right w:val="single" w:color="auto" w:sz="4" w:space="0"/>
            </w:tcBorders>
            <w:vAlign w:val="center"/>
          </w:tcPr>
          <w:p w14:paraId="0283FCDC">
            <w:pPr>
              <w:autoSpaceDE w:val="0"/>
              <w:autoSpaceDN w:val="0"/>
              <w:adjustRightInd w:val="0"/>
              <w:spacing w:line="480" w:lineRule="exact"/>
              <w:jc w:val="center"/>
              <w:rPr>
                <w:rFonts w:hint="eastAsia" w:ascii="宋体" w:hAnsi="宋体" w:cs="宋体"/>
                <w:sz w:val="24"/>
                <w:szCs w:val="24"/>
              </w:rPr>
            </w:pPr>
            <w:r>
              <w:rPr>
                <w:rFonts w:ascii="宋体" w:hAnsi="宋体" w:cs="宋体"/>
                <w:sz w:val="24"/>
                <w:szCs w:val="24"/>
              </w:rPr>
              <w:t>竞争性磋商二次报 价采用线上报价须 知</w:t>
            </w:r>
          </w:p>
        </w:tc>
        <w:tc>
          <w:tcPr>
            <w:tcW w:w="7158" w:type="dxa"/>
            <w:tcBorders>
              <w:top w:val="single" w:color="auto" w:sz="4" w:space="0"/>
              <w:left w:val="single" w:color="auto" w:sz="4" w:space="0"/>
              <w:bottom w:val="single" w:color="auto" w:sz="4" w:space="0"/>
              <w:right w:val="single" w:color="auto" w:sz="4" w:space="0"/>
            </w:tcBorders>
            <w:vAlign w:val="center"/>
          </w:tcPr>
          <w:p w14:paraId="1C8841BD">
            <w:pPr>
              <w:autoSpaceDE w:val="0"/>
              <w:autoSpaceDN w:val="0"/>
              <w:adjustRightInd w:val="0"/>
              <w:spacing w:line="480" w:lineRule="exact"/>
              <w:ind w:firstLine="480" w:firstLineChars="200"/>
              <w:rPr>
                <w:rFonts w:hint="eastAsia" w:ascii="宋体" w:hAnsi="宋体" w:cs="宋体"/>
                <w:sz w:val="24"/>
                <w:szCs w:val="24"/>
              </w:rPr>
            </w:pPr>
            <w:r>
              <w:rPr>
                <w:rFonts w:ascii="宋体" w:hAnsi="宋体" w:cs="宋体"/>
                <w:sz w:val="24"/>
                <w:szCs w:val="24"/>
              </w:rPr>
              <w:t>本项目二次报价采用线上报价，请各供应商接到二次报价通知后，自备电脑在规定的时间内通过 CA 锁登录系统自行报价。报价时间由专家设定（代理机构通知时会告知具体时间），未在规定时 间内报价的视为放弃二次报价机会（线上二次报价操作详见新郑 市公共资源交易中心网站-【下载专区】-《竞争性谈判线上报价操作手册》）。</w:t>
            </w:r>
          </w:p>
        </w:tc>
      </w:tr>
      <w:tr w14:paraId="591E65C5">
        <w:tblPrEx>
          <w:tblCellMar>
            <w:top w:w="0" w:type="dxa"/>
            <w:left w:w="108" w:type="dxa"/>
            <w:bottom w:w="0" w:type="dxa"/>
            <w:right w:w="108" w:type="dxa"/>
          </w:tblCellMar>
        </w:tblPrEx>
        <w:trPr>
          <w:trHeight w:val="397" w:hRule="atLeast"/>
        </w:trPr>
        <w:tc>
          <w:tcPr>
            <w:tcW w:w="963" w:type="dxa"/>
            <w:tcBorders>
              <w:top w:val="single" w:color="auto" w:sz="4" w:space="0"/>
              <w:left w:val="single" w:color="auto" w:sz="4" w:space="0"/>
              <w:bottom w:val="single" w:color="auto" w:sz="4" w:space="0"/>
              <w:right w:val="single" w:color="auto" w:sz="4" w:space="0"/>
            </w:tcBorders>
            <w:vAlign w:val="center"/>
          </w:tcPr>
          <w:p w14:paraId="12BD85E1">
            <w:pPr>
              <w:autoSpaceDE w:val="0"/>
              <w:autoSpaceDN w:val="0"/>
              <w:adjustRightInd w:val="0"/>
              <w:spacing w:line="480" w:lineRule="exact"/>
              <w:jc w:val="center"/>
              <w:rPr>
                <w:rFonts w:hint="eastAsia" w:ascii="宋体" w:hAnsi="宋体" w:cs="宋体"/>
                <w:sz w:val="24"/>
                <w:szCs w:val="24"/>
              </w:rPr>
            </w:pPr>
            <w:r>
              <w:rPr>
                <w:rFonts w:hint="eastAsia" w:ascii="宋体" w:hAnsi="宋体" w:cs="宋体"/>
                <w:sz w:val="24"/>
                <w:szCs w:val="24"/>
              </w:rPr>
              <w:t>10.9</w:t>
            </w:r>
          </w:p>
        </w:tc>
        <w:tc>
          <w:tcPr>
            <w:tcW w:w="1997" w:type="dxa"/>
            <w:tcBorders>
              <w:top w:val="single" w:color="auto" w:sz="4" w:space="0"/>
              <w:left w:val="single" w:color="auto" w:sz="4" w:space="0"/>
              <w:bottom w:val="single" w:color="auto" w:sz="4" w:space="0"/>
              <w:right w:val="single" w:color="auto" w:sz="4" w:space="0"/>
            </w:tcBorders>
            <w:vAlign w:val="center"/>
          </w:tcPr>
          <w:p w14:paraId="0BC5B4E0">
            <w:pPr>
              <w:autoSpaceDE w:val="0"/>
              <w:autoSpaceDN w:val="0"/>
              <w:adjustRightInd w:val="0"/>
              <w:spacing w:line="480" w:lineRule="exact"/>
              <w:jc w:val="center"/>
              <w:rPr>
                <w:rFonts w:hint="eastAsia" w:ascii="宋体" w:hAnsi="宋体" w:cs="宋体"/>
                <w:sz w:val="24"/>
                <w:szCs w:val="24"/>
              </w:rPr>
            </w:pPr>
            <w:r>
              <w:rPr>
                <w:rFonts w:hint="eastAsia" w:ascii="宋体" w:hAnsi="宋体" w:cs="宋体"/>
                <w:sz w:val="24"/>
                <w:szCs w:val="24"/>
              </w:rPr>
              <w:t>付款方式</w:t>
            </w:r>
          </w:p>
        </w:tc>
        <w:tc>
          <w:tcPr>
            <w:tcW w:w="7158" w:type="dxa"/>
            <w:tcBorders>
              <w:top w:val="single" w:color="auto" w:sz="4" w:space="0"/>
              <w:left w:val="single" w:color="auto" w:sz="4" w:space="0"/>
              <w:bottom w:val="single" w:color="auto" w:sz="4" w:space="0"/>
              <w:right w:val="single" w:color="auto" w:sz="4" w:space="0"/>
            </w:tcBorders>
            <w:vAlign w:val="center"/>
          </w:tcPr>
          <w:p w14:paraId="3AB8A854">
            <w:pPr>
              <w:autoSpaceDE w:val="0"/>
              <w:autoSpaceDN w:val="0"/>
              <w:adjustRightInd w:val="0"/>
              <w:spacing w:line="480" w:lineRule="exact"/>
              <w:rPr>
                <w:rFonts w:hint="eastAsia" w:ascii="宋体" w:hAnsi="宋体" w:cs="宋体"/>
                <w:sz w:val="24"/>
                <w:szCs w:val="24"/>
              </w:rPr>
            </w:pPr>
            <w:r>
              <w:rPr>
                <w:rFonts w:hint="eastAsia" w:ascii="宋体" w:hAnsi="宋体" w:cs="宋体"/>
                <w:sz w:val="24"/>
                <w:szCs w:val="24"/>
              </w:rPr>
              <w:t>支付节点和比例详询采购人，以合同签订为准。</w:t>
            </w:r>
          </w:p>
        </w:tc>
      </w:tr>
      <w:tr w14:paraId="29152C8A">
        <w:tblPrEx>
          <w:tblCellMar>
            <w:top w:w="0" w:type="dxa"/>
            <w:left w:w="108" w:type="dxa"/>
            <w:bottom w:w="0" w:type="dxa"/>
            <w:right w:w="108" w:type="dxa"/>
          </w:tblCellMar>
        </w:tblPrEx>
        <w:trPr>
          <w:trHeight w:val="273" w:hRule="atLeast"/>
        </w:trPr>
        <w:tc>
          <w:tcPr>
            <w:tcW w:w="963" w:type="dxa"/>
            <w:tcBorders>
              <w:top w:val="single" w:color="auto" w:sz="4" w:space="0"/>
              <w:left w:val="single" w:color="auto" w:sz="4" w:space="0"/>
              <w:bottom w:val="single" w:color="auto" w:sz="4" w:space="0"/>
              <w:right w:val="single" w:color="auto" w:sz="4" w:space="0"/>
            </w:tcBorders>
            <w:vAlign w:val="center"/>
          </w:tcPr>
          <w:p w14:paraId="7E332CCD">
            <w:pPr>
              <w:adjustRightInd w:val="0"/>
              <w:spacing w:line="480" w:lineRule="exact"/>
              <w:jc w:val="center"/>
              <w:textAlignment w:val="baseline"/>
              <w:rPr>
                <w:rFonts w:ascii="宋体" w:cs="宋体"/>
                <w:kern w:val="0"/>
                <w:sz w:val="24"/>
                <w:szCs w:val="24"/>
              </w:rPr>
            </w:pPr>
            <w:r>
              <w:rPr>
                <w:rFonts w:ascii="宋体" w:hAnsi="宋体" w:cs="宋体"/>
                <w:sz w:val="24"/>
                <w:szCs w:val="24"/>
              </w:rPr>
              <w:t>11</w:t>
            </w:r>
          </w:p>
        </w:tc>
        <w:tc>
          <w:tcPr>
            <w:tcW w:w="9155" w:type="dxa"/>
            <w:gridSpan w:val="2"/>
            <w:tcBorders>
              <w:top w:val="single" w:color="auto" w:sz="4" w:space="0"/>
              <w:left w:val="nil"/>
              <w:bottom w:val="single" w:color="auto" w:sz="4" w:space="0"/>
              <w:right w:val="single" w:color="auto" w:sz="4" w:space="0"/>
            </w:tcBorders>
            <w:vAlign w:val="center"/>
          </w:tcPr>
          <w:p w14:paraId="0C4AA671">
            <w:pPr>
              <w:pStyle w:val="59"/>
              <w:numPr>
                <w:ilvl w:val="0"/>
                <w:numId w:val="1"/>
              </w:numPr>
              <w:spacing w:before="0" w:beforeAutospacing="0" w:line="480" w:lineRule="exact"/>
              <w:rPr>
                <w:rFonts w:ascii="宋体" w:cs="宋体"/>
              </w:rPr>
            </w:pPr>
            <w:r>
              <w:rPr>
                <w:rFonts w:hint="eastAsia" w:ascii="宋体" w:hAnsi="宋体" w:cs="宋体"/>
              </w:rPr>
              <w:t>响应文件中需附廉洁投标承诺书。</w:t>
            </w:r>
          </w:p>
          <w:p w14:paraId="26DFFB2B">
            <w:pPr>
              <w:pStyle w:val="59"/>
              <w:numPr>
                <w:ilvl w:val="0"/>
                <w:numId w:val="1"/>
              </w:numPr>
              <w:spacing w:before="0" w:beforeAutospacing="0" w:line="480" w:lineRule="exact"/>
              <w:rPr>
                <w:rFonts w:ascii="宋体" w:cs="宋体"/>
              </w:rPr>
            </w:pPr>
            <w:r>
              <w:rPr>
                <w:rFonts w:hint="eastAsia" w:ascii="宋体" w:hAnsi="宋体" w:cs="宋体"/>
              </w:rPr>
              <w:t>响应</w:t>
            </w:r>
            <w:r>
              <w:rPr>
                <w:rFonts w:ascii="宋体" w:hAnsi="宋体" w:cs="宋体"/>
              </w:rPr>
              <w:t>文件中签字、盖章：签字是指电子签章或签字；盖章是指电子章，其他如“投标专用章”无效。</w:t>
            </w:r>
          </w:p>
          <w:p w14:paraId="79B36A59">
            <w:pPr>
              <w:pStyle w:val="59"/>
              <w:numPr>
                <w:ilvl w:val="0"/>
                <w:numId w:val="1"/>
              </w:numPr>
              <w:spacing w:before="0" w:beforeAutospacing="0" w:line="480" w:lineRule="exact"/>
              <w:rPr>
                <w:rFonts w:ascii="宋体" w:cs="宋体"/>
              </w:rPr>
            </w:pPr>
            <w:r>
              <w:rPr>
                <w:rFonts w:ascii="宋体" w:hAnsi="宋体" w:cs="宋体"/>
              </w:rPr>
              <w:t>电子</w:t>
            </w:r>
            <w:r>
              <w:rPr>
                <w:rFonts w:hint="eastAsia" w:ascii="宋体" w:hAnsi="宋体" w:cs="宋体"/>
              </w:rPr>
              <w:t>响应</w:t>
            </w:r>
            <w:r>
              <w:rPr>
                <w:rFonts w:ascii="宋体" w:hAnsi="宋体" w:cs="宋体"/>
              </w:rPr>
              <w:t>文件制作时，由系统自动生成（或预置）的章节与</w:t>
            </w:r>
            <w:r>
              <w:rPr>
                <w:rFonts w:hint="eastAsia" w:hAnsi="宋体" w:cs="宋体"/>
              </w:rPr>
              <w:t>竞争性磋商文件</w:t>
            </w:r>
            <w:r>
              <w:rPr>
                <w:rFonts w:ascii="宋体" w:hAnsi="宋体" w:cs="宋体"/>
              </w:rPr>
              <w:t>所提供的格式不符时，以系统自动生成（或预置）格式为准，视为满足</w:t>
            </w:r>
            <w:r>
              <w:rPr>
                <w:rFonts w:hint="eastAsia" w:hAnsi="宋体" w:cs="宋体"/>
              </w:rPr>
              <w:t>竞争性磋商文件</w:t>
            </w:r>
            <w:r>
              <w:rPr>
                <w:rFonts w:ascii="宋体" w:hAnsi="宋体" w:cs="宋体"/>
              </w:rPr>
              <w:t>格式要求。</w:t>
            </w:r>
          </w:p>
          <w:p w14:paraId="7303CE57">
            <w:pPr>
              <w:pStyle w:val="59"/>
              <w:numPr>
                <w:ilvl w:val="0"/>
                <w:numId w:val="1"/>
              </w:numPr>
              <w:spacing w:before="0" w:beforeAutospacing="0" w:line="480" w:lineRule="exact"/>
              <w:rPr>
                <w:rFonts w:ascii="宋体" w:cs="宋体"/>
              </w:rPr>
            </w:pPr>
            <w:r>
              <w:rPr>
                <w:rFonts w:ascii="宋体" w:hAnsi="宋体" w:cs="宋体"/>
              </w:rPr>
              <w:t>供应商提供虚假材料谋取中标、成交或提供的承诺函、声明函不实的，依据《中华人民共和国政府采购法》、《中华人民共和国政府采购法实施条例》处理。</w:t>
            </w:r>
          </w:p>
          <w:p w14:paraId="740FE31A">
            <w:pPr>
              <w:pStyle w:val="59"/>
              <w:numPr>
                <w:ilvl w:val="0"/>
                <w:numId w:val="1"/>
              </w:numPr>
              <w:spacing w:before="0" w:beforeAutospacing="0" w:line="480" w:lineRule="exact"/>
              <w:rPr>
                <w:rFonts w:ascii="宋体" w:cs="宋体"/>
              </w:rPr>
            </w:pPr>
            <w:r>
              <w:rPr>
                <w:rFonts w:hint="eastAsia" w:ascii="宋体" w:hAnsi="宋体" w:cs="宋体"/>
              </w:rPr>
              <w:t>供应商对采购人提供的资料和数据应做出正确的判断和鉴别，并对依此得出的推论和结论进行负责。采购人不承担由供应商的错误判断和鉴别而造成的任何损失。供应商</w:t>
            </w:r>
            <w:r>
              <w:rPr>
                <w:rFonts w:ascii="宋体" w:hAnsi="宋体" w:cs="宋体"/>
              </w:rPr>
              <w:t>应详细阅读</w:t>
            </w:r>
            <w:r>
              <w:rPr>
                <w:rFonts w:hint="eastAsia" w:hAnsi="宋体" w:cs="宋体"/>
              </w:rPr>
              <w:t>竞争性磋商文件</w:t>
            </w:r>
            <w:r>
              <w:rPr>
                <w:rFonts w:ascii="宋体" w:hAnsi="宋体" w:cs="宋体"/>
              </w:rPr>
              <w:t>中的各项条款、格式、表格、条件等内容，不按</w:t>
            </w:r>
            <w:r>
              <w:rPr>
                <w:rFonts w:hint="eastAsia" w:hAnsi="宋体" w:cs="宋体"/>
              </w:rPr>
              <w:t>竞争性磋商文件</w:t>
            </w:r>
            <w:r>
              <w:rPr>
                <w:rFonts w:ascii="宋体" w:hAnsi="宋体" w:cs="宋体"/>
              </w:rPr>
              <w:t>要求提供</w:t>
            </w:r>
            <w:r>
              <w:rPr>
                <w:rFonts w:hint="eastAsia" w:ascii="宋体" w:hAnsi="宋体" w:cs="宋体"/>
              </w:rPr>
              <w:t>响应</w:t>
            </w:r>
            <w:r>
              <w:rPr>
                <w:rFonts w:ascii="宋体" w:hAnsi="宋体" w:cs="宋体"/>
              </w:rPr>
              <w:t>文件和资料的，将导致</w:t>
            </w:r>
            <w:r>
              <w:rPr>
                <w:rFonts w:hint="eastAsia" w:ascii="宋体" w:hAnsi="宋体" w:cs="宋体"/>
              </w:rPr>
              <w:t>响应</w:t>
            </w:r>
            <w:r>
              <w:rPr>
                <w:rFonts w:ascii="宋体" w:hAnsi="宋体" w:cs="宋体"/>
              </w:rPr>
              <w:t>文件不被接受，其后果由</w:t>
            </w:r>
            <w:r>
              <w:rPr>
                <w:rFonts w:hint="eastAsia" w:ascii="宋体" w:hAnsi="宋体" w:cs="宋体"/>
              </w:rPr>
              <w:t>供应商</w:t>
            </w:r>
            <w:r>
              <w:rPr>
                <w:rFonts w:ascii="宋体" w:hAnsi="宋体" w:cs="宋体"/>
              </w:rPr>
              <w:t xml:space="preserve">自行负责。 </w:t>
            </w:r>
          </w:p>
          <w:p w14:paraId="20885442">
            <w:pPr>
              <w:pStyle w:val="59"/>
              <w:numPr>
                <w:ilvl w:val="0"/>
                <w:numId w:val="1"/>
              </w:numPr>
              <w:spacing w:before="0" w:beforeAutospacing="0" w:line="480" w:lineRule="exact"/>
              <w:rPr>
                <w:rFonts w:ascii="宋体" w:cs="宋体"/>
              </w:rPr>
            </w:pPr>
            <w:r>
              <w:rPr>
                <w:rFonts w:hint="eastAsia" w:ascii="宋体" w:cs="宋体"/>
              </w:rPr>
              <w:t>本</w:t>
            </w:r>
            <w:r>
              <w:rPr>
                <w:rFonts w:hint="eastAsia" w:hAnsi="宋体" w:cs="宋体"/>
              </w:rPr>
              <w:t>竞争性磋商文件</w:t>
            </w:r>
            <w:r>
              <w:rPr>
                <w:rFonts w:hint="eastAsia" w:ascii="宋体" w:cs="宋体"/>
              </w:rPr>
              <w:t>的解释权属采购人。</w:t>
            </w:r>
          </w:p>
        </w:tc>
      </w:tr>
      <w:tr w14:paraId="55968095">
        <w:tblPrEx>
          <w:tblCellMar>
            <w:top w:w="0" w:type="dxa"/>
            <w:left w:w="108" w:type="dxa"/>
            <w:bottom w:w="0" w:type="dxa"/>
            <w:right w:w="108" w:type="dxa"/>
          </w:tblCellMar>
        </w:tblPrEx>
        <w:trPr>
          <w:trHeight w:val="273" w:hRule="atLeast"/>
        </w:trPr>
        <w:tc>
          <w:tcPr>
            <w:tcW w:w="963" w:type="dxa"/>
            <w:tcBorders>
              <w:top w:val="single" w:color="auto" w:sz="4" w:space="0"/>
              <w:left w:val="single" w:color="auto" w:sz="4" w:space="0"/>
              <w:bottom w:val="single" w:color="auto" w:sz="4" w:space="0"/>
              <w:right w:val="single" w:color="auto" w:sz="4" w:space="0"/>
            </w:tcBorders>
            <w:vAlign w:val="center"/>
          </w:tcPr>
          <w:p w14:paraId="7805AB67">
            <w:pPr>
              <w:adjustRightInd w:val="0"/>
              <w:spacing w:line="480" w:lineRule="exact"/>
              <w:jc w:val="center"/>
              <w:textAlignment w:val="baseline"/>
              <w:rPr>
                <w:rFonts w:ascii="宋体" w:hAnsi="宋体" w:cs="宋体"/>
                <w:sz w:val="24"/>
                <w:szCs w:val="24"/>
              </w:rPr>
            </w:pPr>
          </w:p>
        </w:tc>
        <w:tc>
          <w:tcPr>
            <w:tcW w:w="9155" w:type="dxa"/>
            <w:gridSpan w:val="2"/>
            <w:tcBorders>
              <w:top w:val="single" w:color="auto" w:sz="4" w:space="0"/>
              <w:left w:val="nil"/>
              <w:bottom w:val="single" w:color="auto" w:sz="4" w:space="0"/>
              <w:right w:val="single" w:color="auto" w:sz="4" w:space="0"/>
            </w:tcBorders>
            <w:vAlign w:val="center"/>
          </w:tcPr>
          <w:p w14:paraId="52E8CCC2">
            <w:pPr>
              <w:pStyle w:val="59"/>
              <w:numPr>
                <w:ilvl w:val="0"/>
                <w:numId w:val="1"/>
              </w:numPr>
              <w:spacing w:before="0" w:beforeAutospacing="0" w:line="480" w:lineRule="exact"/>
              <w:rPr>
                <w:rFonts w:hint="eastAsia" w:ascii="宋体" w:cs="宋体"/>
              </w:rPr>
            </w:pPr>
            <w:r>
              <w:rPr>
                <w:rFonts w:hint="eastAsia" w:ascii="宋体" w:cs="宋体"/>
                <w:lang w:val="en-US" w:eastAsia="zh-CN"/>
              </w:rPr>
              <w:t>前期绩效评估费用（6000.00元）由成交单位支付。</w:t>
            </w:r>
          </w:p>
        </w:tc>
      </w:tr>
      <w:bookmarkEnd w:id="19"/>
      <w:bookmarkEnd w:id="20"/>
      <w:bookmarkEnd w:id="21"/>
      <w:bookmarkEnd w:id="22"/>
    </w:tbl>
    <w:p w14:paraId="27FA5148"/>
    <w:p w14:paraId="22EE0E06">
      <w:pPr>
        <w:pStyle w:val="3"/>
        <w:spacing w:line="480" w:lineRule="exact"/>
        <w:rPr>
          <w:rFonts w:hint="eastAsia" w:ascii="宋体" w:hAnsi="宋体"/>
          <w:sz w:val="24"/>
          <w:szCs w:val="24"/>
        </w:rPr>
      </w:pPr>
      <w:bookmarkStart w:id="23" w:name="_Toc144974497"/>
      <w:bookmarkEnd w:id="23"/>
      <w:bookmarkStart w:id="24" w:name="_Toc2113"/>
      <w:bookmarkStart w:id="25" w:name="_Toc14390_WPSOffice_Level2"/>
      <w:bookmarkStart w:id="26" w:name="_Toc4293_WPSOffice_Level2"/>
      <w:r>
        <w:br w:type="page"/>
      </w:r>
      <w:bookmarkStart w:id="27" w:name="_Toc152656710"/>
      <w:r>
        <w:rPr>
          <w:rFonts w:ascii="宋体" w:hAnsi="宋体" w:eastAsia="宋体" w:cs="宋体"/>
          <w:sz w:val="24"/>
          <w:szCs w:val="24"/>
        </w:rPr>
        <w:t xml:space="preserve">1. </w:t>
      </w:r>
      <w:r>
        <w:rPr>
          <w:rFonts w:hint="eastAsia" w:ascii="宋体" w:hAnsi="宋体" w:eastAsia="宋体" w:cs="宋体"/>
          <w:sz w:val="24"/>
          <w:szCs w:val="24"/>
        </w:rPr>
        <w:t>总则</w:t>
      </w:r>
      <w:bookmarkEnd w:id="24"/>
      <w:bookmarkEnd w:id="25"/>
      <w:bookmarkEnd w:id="26"/>
      <w:bookmarkEnd w:id="27"/>
    </w:p>
    <w:p w14:paraId="219CD319">
      <w:pPr>
        <w:spacing w:line="464" w:lineRule="exact"/>
        <w:rPr>
          <w:rFonts w:ascii="宋体" w:cs="宋体"/>
          <w:b/>
          <w:bCs/>
          <w:sz w:val="24"/>
          <w:szCs w:val="24"/>
        </w:rPr>
      </w:pPr>
      <w:bookmarkStart w:id="28" w:name="_Toc330304858"/>
      <w:bookmarkEnd w:id="28"/>
      <w:bookmarkStart w:id="29" w:name="_Toc152042306"/>
      <w:bookmarkEnd w:id="29"/>
      <w:bookmarkStart w:id="30" w:name="_Toc144974498"/>
      <w:bookmarkEnd w:id="30"/>
      <w:bookmarkStart w:id="31" w:name="_Toc325553551"/>
      <w:bookmarkEnd w:id="31"/>
      <w:bookmarkStart w:id="32" w:name="_Toc152045530"/>
      <w:bookmarkEnd w:id="32"/>
      <w:bookmarkStart w:id="33" w:name="_Toc8330"/>
      <w:r>
        <w:rPr>
          <w:rFonts w:ascii="宋体" w:hAnsi="宋体" w:cs="宋体"/>
          <w:b/>
          <w:bCs/>
          <w:sz w:val="24"/>
          <w:szCs w:val="24"/>
        </w:rPr>
        <w:t xml:space="preserve">1.1 </w:t>
      </w:r>
      <w:r>
        <w:rPr>
          <w:rFonts w:hint="eastAsia" w:ascii="宋体" w:hAnsi="宋体" w:cs="宋体"/>
          <w:b/>
          <w:bCs/>
          <w:sz w:val="24"/>
          <w:szCs w:val="24"/>
        </w:rPr>
        <w:t>项目概况</w:t>
      </w:r>
      <w:bookmarkEnd w:id="33"/>
    </w:p>
    <w:p w14:paraId="185B3489">
      <w:pPr>
        <w:spacing w:line="464" w:lineRule="exact"/>
        <w:ind w:firstLine="480" w:firstLineChars="200"/>
        <w:rPr>
          <w:rFonts w:ascii="宋体" w:cs="宋体"/>
          <w:sz w:val="24"/>
          <w:szCs w:val="24"/>
        </w:rPr>
      </w:pPr>
      <w:r>
        <w:rPr>
          <w:rFonts w:ascii="宋体" w:hAnsi="宋体" w:cs="宋体"/>
          <w:sz w:val="24"/>
          <w:szCs w:val="24"/>
        </w:rPr>
        <w:t>1.1.1</w:t>
      </w:r>
      <w:r>
        <w:rPr>
          <w:rFonts w:hint="eastAsia" w:ascii="宋体" w:hAnsi="宋体" w:cs="宋体"/>
          <w:sz w:val="24"/>
          <w:szCs w:val="24"/>
        </w:rPr>
        <w:t>根据《中华人民共和国政府采购法》</w:t>
      </w:r>
      <w:r>
        <w:rPr>
          <w:rFonts w:hint="eastAsia" w:asciiTheme="minorEastAsia" w:hAnsiTheme="minorEastAsia" w:eastAsiaTheme="minorEastAsia"/>
          <w:sz w:val="24"/>
          <w:szCs w:val="24"/>
        </w:rPr>
        <w:t>、《中华人民共和国政府采购法实施条例》</w:t>
      </w:r>
      <w:r>
        <w:rPr>
          <w:rFonts w:hint="eastAsia" w:ascii="宋体" w:hAnsi="宋体" w:cs="宋体"/>
          <w:sz w:val="24"/>
          <w:szCs w:val="24"/>
        </w:rPr>
        <w:t>等有关法律、法规和规章的规定，本项目已具备招标条件，现对本项目进行</w:t>
      </w:r>
      <w:r>
        <w:rPr>
          <w:rFonts w:hint="eastAsia" w:cs="宋体" w:asciiTheme="minorEastAsia" w:hAnsiTheme="minorEastAsia" w:eastAsiaTheme="minorEastAsia"/>
          <w:sz w:val="24"/>
          <w:szCs w:val="24"/>
        </w:rPr>
        <w:t>竞争性磋商</w:t>
      </w:r>
      <w:r>
        <w:rPr>
          <w:rFonts w:hint="eastAsia" w:ascii="宋体" w:hAnsi="宋体" w:cs="宋体"/>
          <w:sz w:val="24"/>
          <w:szCs w:val="24"/>
        </w:rPr>
        <w:t>。</w:t>
      </w:r>
    </w:p>
    <w:p w14:paraId="7DFB260F">
      <w:pPr>
        <w:spacing w:line="464" w:lineRule="exact"/>
        <w:ind w:firstLine="480" w:firstLineChars="200"/>
        <w:rPr>
          <w:rFonts w:ascii="宋体" w:cs="宋体"/>
          <w:sz w:val="24"/>
          <w:szCs w:val="24"/>
        </w:rPr>
      </w:pPr>
      <w:r>
        <w:rPr>
          <w:rFonts w:ascii="宋体" w:hAnsi="宋体" w:cs="宋体"/>
          <w:sz w:val="24"/>
          <w:szCs w:val="24"/>
        </w:rPr>
        <w:t xml:space="preserve">1.1.2 </w:t>
      </w:r>
      <w:r>
        <w:rPr>
          <w:rFonts w:hint="eastAsia" w:ascii="宋体" w:hAnsi="宋体" w:cs="宋体"/>
          <w:sz w:val="24"/>
          <w:szCs w:val="24"/>
        </w:rPr>
        <w:t>采购人：见供应商须知前附表。</w:t>
      </w:r>
    </w:p>
    <w:p w14:paraId="26F019CB">
      <w:pPr>
        <w:spacing w:line="464" w:lineRule="exact"/>
        <w:ind w:firstLine="480" w:firstLineChars="200"/>
        <w:rPr>
          <w:rFonts w:ascii="宋体" w:cs="宋体"/>
          <w:sz w:val="24"/>
          <w:szCs w:val="24"/>
        </w:rPr>
      </w:pPr>
      <w:r>
        <w:rPr>
          <w:rFonts w:ascii="宋体" w:hAnsi="宋体" w:cs="宋体"/>
          <w:sz w:val="24"/>
          <w:szCs w:val="24"/>
        </w:rPr>
        <w:t xml:space="preserve">1.1.3 </w:t>
      </w:r>
      <w:r>
        <w:rPr>
          <w:rFonts w:hint="eastAsia" w:ascii="宋体" w:hAnsi="宋体" w:cs="宋体"/>
          <w:sz w:val="24"/>
          <w:szCs w:val="24"/>
        </w:rPr>
        <w:t>采购代理机构：见供应商须知前附表。</w:t>
      </w:r>
    </w:p>
    <w:p w14:paraId="641A3C76">
      <w:pPr>
        <w:spacing w:line="464" w:lineRule="exact"/>
        <w:ind w:firstLine="480" w:firstLineChars="200"/>
        <w:rPr>
          <w:rFonts w:hint="eastAsia" w:ascii="宋体" w:hAnsi="宋体" w:cs="宋体"/>
          <w:sz w:val="24"/>
          <w:szCs w:val="24"/>
        </w:rPr>
      </w:pPr>
      <w:r>
        <w:rPr>
          <w:rFonts w:ascii="宋体" w:hAnsi="宋体" w:cs="宋体"/>
          <w:sz w:val="24"/>
          <w:szCs w:val="24"/>
        </w:rPr>
        <w:t>1.1.4 监督单位</w:t>
      </w:r>
      <w:r>
        <w:rPr>
          <w:rFonts w:hint="eastAsia" w:ascii="宋体" w:hAnsi="宋体" w:cs="宋体"/>
          <w:sz w:val="24"/>
          <w:szCs w:val="24"/>
        </w:rPr>
        <w:t>：见供应商须知前附表。</w:t>
      </w:r>
    </w:p>
    <w:p w14:paraId="5D8E7227">
      <w:pPr>
        <w:spacing w:line="464" w:lineRule="exact"/>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5项目名称及项目编号：见供应商须知前附表。</w:t>
      </w:r>
    </w:p>
    <w:p w14:paraId="3CBE229A">
      <w:pPr>
        <w:spacing w:line="464" w:lineRule="exact"/>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6项目地点：见供应商须知前附表。</w:t>
      </w:r>
    </w:p>
    <w:p w14:paraId="65423F04">
      <w:pPr>
        <w:spacing w:line="464" w:lineRule="exact"/>
        <w:rPr>
          <w:rFonts w:ascii="宋体" w:cs="宋体"/>
          <w:b/>
          <w:bCs/>
          <w:sz w:val="24"/>
          <w:szCs w:val="24"/>
        </w:rPr>
      </w:pPr>
      <w:bookmarkStart w:id="34" w:name="_Toc152042307"/>
      <w:bookmarkEnd w:id="34"/>
      <w:bookmarkStart w:id="35" w:name="_Toc152045531"/>
      <w:bookmarkEnd w:id="35"/>
      <w:bookmarkStart w:id="36" w:name="_Toc325553552"/>
      <w:bookmarkEnd w:id="36"/>
      <w:bookmarkStart w:id="37" w:name="_Toc330304859"/>
      <w:bookmarkEnd w:id="37"/>
      <w:bookmarkStart w:id="38" w:name="_Toc144974499"/>
      <w:bookmarkEnd w:id="38"/>
      <w:bookmarkStart w:id="39" w:name="_Toc5000"/>
      <w:r>
        <w:rPr>
          <w:rFonts w:ascii="宋体" w:hAnsi="宋体" w:cs="宋体"/>
          <w:b/>
          <w:bCs/>
          <w:sz w:val="24"/>
          <w:szCs w:val="24"/>
        </w:rPr>
        <w:t xml:space="preserve">1.2 </w:t>
      </w:r>
      <w:r>
        <w:rPr>
          <w:rFonts w:hint="eastAsia" w:ascii="宋体" w:hAnsi="宋体" w:cs="宋体"/>
          <w:b/>
          <w:bCs/>
          <w:sz w:val="24"/>
          <w:szCs w:val="24"/>
        </w:rPr>
        <w:t>资金来源和落实情况</w:t>
      </w:r>
      <w:bookmarkEnd w:id="39"/>
    </w:p>
    <w:p w14:paraId="39786AD3">
      <w:pPr>
        <w:spacing w:line="464" w:lineRule="exact"/>
        <w:ind w:firstLine="480" w:firstLineChars="200"/>
        <w:rPr>
          <w:rFonts w:ascii="宋体" w:cs="宋体"/>
          <w:sz w:val="24"/>
          <w:szCs w:val="24"/>
        </w:rPr>
      </w:pPr>
      <w:r>
        <w:rPr>
          <w:rFonts w:ascii="宋体" w:hAnsi="宋体" w:cs="宋体"/>
          <w:sz w:val="24"/>
          <w:szCs w:val="24"/>
        </w:rPr>
        <w:t xml:space="preserve">1.2.1 </w:t>
      </w:r>
      <w:r>
        <w:rPr>
          <w:rFonts w:hint="eastAsia" w:ascii="宋体" w:hAnsi="宋体" w:cs="宋体"/>
          <w:sz w:val="24"/>
          <w:szCs w:val="24"/>
        </w:rPr>
        <w:t>资金来源及比例：见供应商须知前附表。</w:t>
      </w:r>
    </w:p>
    <w:p w14:paraId="5BA6E97B">
      <w:pPr>
        <w:spacing w:line="464" w:lineRule="exact"/>
        <w:ind w:firstLine="480" w:firstLineChars="200"/>
        <w:rPr>
          <w:rFonts w:ascii="宋体" w:cs="宋体"/>
          <w:sz w:val="24"/>
          <w:szCs w:val="24"/>
        </w:rPr>
      </w:pPr>
      <w:r>
        <w:rPr>
          <w:rFonts w:ascii="宋体" w:hAnsi="宋体" w:cs="宋体"/>
          <w:sz w:val="24"/>
          <w:szCs w:val="24"/>
        </w:rPr>
        <w:t xml:space="preserve">1.2.2 </w:t>
      </w:r>
      <w:r>
        <w:rPr>
          <w:rFonts w:hint="eastAsia" w:ascii="宋体" w:hAnsi="宋体" w:cs="宋体"/>
          <w:sz w:val="24"/>
          <w:szCs w:val="24"/>
        </w:rPr>
        <w:t>资金落实情况：见供应商须知前附表。</w:t>
      </w:r>
    </w:p>
    <w:p w14:paraId="2D5802CE">
      <w:pPr>
        <w:spacing w:line="464" w:lineRule="exact"/>
        <w:rPr>
          <w:rFonts w:ascii="宋体" w:cs="宋体"/>
          <w:b/>
          <w:bCs/>
          <w:sz w:val="24"/>
          <w:szCs w:val="24"/>
        </w:rPr>
      </w:pPr>
      <w:bookmarkStart w:id="40" w:name="_Toc144974500"/>
      <w:bookmarkEnd w:id="40"/>
      <w:bookmarkStart w:id="41" w:name="_Toc152042308"/>
      <w:bookmarkEnd w:id="41"/>
      <w:bookmarkStart w:id="42" w:name="_Toc330304860"/>
      <w:bookmarkEnd w:id="42"/>
      <w:bookmarkStart w:id="43" w:name="_Toc325553553"/>
      <w:bookmarkEnd w:id="43"/>
      <w:bookmarkStart w:id="44" w:name="_Toc152045532"/>
      <w:bookmarkEnd w:id="44"/>
      <w:bookmarkStart w:id="45" w:name="_Toc24059"/>
      <w:r>
        <w:rPr>
          <w:rFonts w:ascii="宋体" w:hAnsi="宋体" w:cs="宋体"/>
          <w:b/>
          <w:bCs/>
          <w:sz w:val="24"/>
          <w:szCs w:val="24"/>
        </w:rPr>
        <w:t xml:space="preserve">1.3 </w:t>
      </w:r>
      <w:r>
        <w:rPr>
          <w:rFonts w:hint="eastAsia" w:ascii="宋体" w:hAnsi="宋体" w:cs="宋体"/>
          <w:b/>
          <w:bCs/>
          <w:sz w:val="24"/>
          <w:szCs w:val="24"/>
        </w:rPr>
        <w:t>招标范围</w:t>
      </w:r>
      <w:bookmarkEnd w:id="45"/>
      <w:r>
        <w:rPr>
          <w:rFonts w:hint="eastAsia" w:ascii="宋体" w:hAnsi="宋体" w:cs="宋体"/>
          <w:b/>
          <w:bCs/>
          <w:sz w:val="24"/>
          <w:szCs w:val="24"/>
        </w:rPr>
        <w:t>、供货期等</w:t>
      </w:r>
    </w:p>
    <w:p w14:paraId="24705AA0">
      <w:pPr>
        <w:spacing w:line="464" w:lineRule="exact"/>
        <w:ind w:firstLine="480" w:firstLineChars="200"/>
        <w:rPr>
          <w:rFonts w:ascii="宋体" w:cs="宋体"/>
          <w:sz w:val="24"/>
          <w:szCs w:val="24"/>
        </w:rPr>
      </w:pPr>
      <w:r>
        <w:rPr>
          <w:rFonts w:ascii="宋体" w:hAnsi="宋体" w:cs="宋体"/>
          <w:sz w:val="24"/>
          <w:szCs w:val="24"/>
        </w:rPr>
        <w:t xml:space="preserve">1.3.1  </w:t>
      </w:r>
      <w:r>
        <w:rPr>
          <w:rFonts w:hint="eastAsia" w:ascii="宋体" w:hAnsi="宋体" w:cs="宋体"/>
          <w:sz w:val="24"/>
          <w:szCs w:val="24"/>
        </w:rPr>
        <w:t>招标范围：见供应商须知前附表。</w:t>
      </w:r>
    </w:p>
    <w:p w14:paraId="05517209">
      <w:pPr>
        <w:spacing w:line="464" w:lineRule="exact"/>
        <w:ind w:firstLine="480" w:firstLineChars="200"/>
        <w:rPr>
          <w:rFonts w:ascii="宋体" w:cs="宋体"/>
          <w:sz w:val="24"/>
          <w:szCs w:val="24"/>
        </w:rPr>
      </w:pPr>
      <w:bookmarkStart w:id="46" w:name="_Toc152042310"/>
      <w:bookmarkEnd w:id="46"/>
      <w:bookmarkStart w:id="47" w:name="_Toc330304861"/>
      <w:bookmarkEnd w:id="47"/>
      <w:bookmarkStart w:id="48" w:name="_Toc152045534"/>
      <w:bookmarkEnd w:id="48"/>
      <w:bookmarkStart w:id="49" w:name="_Toc325553554"/>
      <w:bookmarkEnd w:id="49"/>
      <w:bookmarkStart w:id="50" w:name="_Toc144974502"/>
      <w:bookmarkEnd w:id="50"/>
      <w:bookmarkStart w:id="51" w:name="_Toc6797"/>
      <w:r>
        <w:rPr>
          <w:rFonts w:ascii="宋体" w:hAnsi="宋体" w:cs="宋体"/>
          <w:sz w:val="24"/>
          <w:szCs w:val="24"/>
        </w:rPr>
        <w:t xml:space="preserve">1.3.2. </w:t>
      </w:r>
      <w:r>
        <w:rPr>
          <w:rFonts w:hint="eastAsia" w:ascii="宋体" w:hAnsi="宋体" w:cs="宋体"/>
          <w:sz w:val="24"/>
          <w:szCs w:val="24"/>
        </w:rPr>
        <w:t>招标方式：见供应商须知前附表。</w:t>
      </w:r>
    </w:p>
    <w:p w14:paraId="209088CE">
      <w:pPr>
        <w:spacing w:line="464" w:lineRule="exact"/>
        <w:ind w:firstLine="480" w:firstLineChars="200"/>
        <w:rPr>
          <w:rFonts w:ascii="宋体" w:cs="宋体"/>
          <w:sz w:val="24"/>
          <w:szCs w:val="24"/>
        </w:rPr>
      </w:pPr>
      <w:r>
        <w:rPr>
          <w:rFonts w:ascii="宋体" w:hAnsi="宋体" w:cs="宋体"/>
          <w:sz w:val="24"/>
          <w:szCs w:val="24"/>
        </w:rPr>
        <w:t xml:space="preserve">1.3.3. </w:t>
      </w:r>
      <w:r>
        <w:rPr>
          <w:rFonts w:hint="eastAsia" w:ascii="宋体" w:hAnsi="宋体" w:cs="宋体"/>
          <w:sz w:val="24"/>
          <w:szCs w:val="24"/>
        </w:rPr>
        <w:t>评标方式：见供应商须知前附表。</w:t>
      </w:r>
    </w:p>
    <w:p w14:paraId="63DD0FE4">
      <w:pPr>
        <w:spacing w:line="464" w:lineRule="exact"/>
        <w:ind w:firstLine="480" w:firstLineChars="200"/>
        <w:rPr>
          <w:rFonts w:ascii="宋体" w:cs="宋体"/>
          <w:sz w:val="24"/>
          <w:szCs w:val="24"/>
        </w:rPr>
      </w:pPr>
      <w:r>
        <w:rPr>
          <w:rFonts w:ascii="宋体" w:hAnsi="宋体" w:cs="宋体"/>
          <w:sz w:val="24"/>
          <w:szCs w:val="24"/>
        </w:rPr>
        <w:t xml:space="preserve">1.3.4. </w:t>
      </w:r>
      <w:r>
        <w:rPr>
          <w:rFonts w:hint="eastAsia" w:ascii="宋体" w:hAnsi="宋体" w:cs="宋体"/>
          <w:sz w:val="24"/>
          <w:szCs w:val="24"/>
        </w:rPr>
        <w:t>供货期：见供应商须知前附表。</w:t>
      </w:r>
    </w:p>
    <w:p w14:paraId="32B77B7D">
      <w:pPr>
        <w:spacing w:line="464" w:lineRule="exact"/>
        <w:ind w:firstLine="480" w:firstLineChars="200"/>
        <w:rPr>
          <w:rFonts w:ascii="宋体" w:cs="宋体"/>
          <w:sz w:val="24"/>
          <w:szCs w:val="24"/>
        </w:rPr>
      </w:pPr>
      <w:r>
        <w:rPr>
          <w:rFonts w:ascii="宋体" w:hAnsi="宋体" w:cs="宋体"/>
          <w:sz w:val="24"/>
          <w:szCs w:val="24"/>
        </w:rPr>
        <w:t xml:space="preserve">1.3.5. </w:t>
      </w:r>
      <w:r>
        <w:rPr>
          <w:rFonts w:hint="eastAsia" w:ascii="宋体" w:hAnsi="宋体" w:cs="宋体"/>
          <w:sz w:val="24"/>
          <w:szCs w:val="24"/>
        </w:rPr>
        <w:t>服务地点：见供应商须知前附表。</w:t>
      </w:r>
    </w:p>
    <w:p w14:paraId="44094633">
      <w:pPr>
        <w:spacing w:line="464" w:lineRule="exact"/>
        <w:ind w:firstLine="480" w:firstLineChars="200"/>
        <w:rPr>
          <w:rFonts w:ascii="宋体" w:cs="宋体"/>
          <w:sz w:val="24"/>
          <w:szCs w:val="24"/>
        </w:rPr>
      </w:pPr>
      <w:r>
        <w:rPr>
          <w:rFonts w:ascii="宋体" w:hAnsi="宋体" w:cs="宋体"/>
          <w:sz w:val="24"/>
          <w:szCs w:val="24"/>
        </w:rPr>
        <w:t xml:space="preserve">1.3.6. </w:t>
      </w:r>
      <w:r>
        <w:rPr>
          <w:rFonts w:hint="eastAsia" w:ascii="宋体" w:hAnsi="宋体" w:cs="宋体"/>
          <w:sz w:val="24"/>
          <w:szCs w:val="24"/>
        </w:rPr>
        <w:t>采购人要求：见供应商须知前附表。</w:t>
      </w:r>
    </w:p>
    <w:p w14:paraId="32D6D98F">
      <w:pPr>
        <w:spacing w:line="464" w:lineRule="exact"/>
        <w:ind w:firstLine="480" w:firstLineChars="200"/>
        <w:rPr>
          <w:rFonts w:ascii="宋体" w:cs="宋体"/>
          <w:sz w:val="24"/>
          <w:szCs w:val="24"/>
        </w:rPr>
      </w:pPr>
      <w:r>
        <w:rPr>
          <w:rFonts w:ascii="宋体" w:hAnsi="宋体" w:cs="宋体"/>
          <w:sz w:val="24"/>
          <w:szCs w:val="24"/>
        </w:rPr>
        <w:t xml:space="preserve">1.3.7. </w:t>
      </w:r>
      <w:r>
        <w:rPr>
          <w:rFonts w:hint="eastAsia" w:ascii="宋体" w:hAnsi="宋体" w:cs="宋体"/>
          <w:sz w:val="24"/>
          <w:szCs w:val="24"/>
        </w:rPr>
        <w:t>质量要求：见供应商须知前附表。</w:t>
      </w:r>
    </w:p>
    <w:p w14:paraId="77652447">
      <w:pPr>
        <w:spacing w:line="464" w:lineRule="exact"/>
        <w:rPr>
          <w:rFonts w:ascii="宋体" w:cs="宋体"/>
          <w:b/>
          <w:bCs/>
          <w:sz w:val="24"/>
          <w:szCs w:val="24"/>
        </w:rPr>
      </w:pPr>
      <w:r>
        <w:rPr>
          <w:rFonts w:ascii="宋体" w:hAnsi="宋体" w:cs="宋体"/>
          <w:b/>
          <w:bCs/>
          <w:sz w:val="24"/>
          <w:szCs w:val="24"/>
        </w:rPr>
        <w:t xml:space="preserve">1.4 </w:t>
      </w:r>
      <w:r>
        <w:rPr>
          <w:rFonts w:hint="eastAsia" w:ascii="宋体" w:hAnsi="宋体" w:cs="宋体"/>
          <w:b/>
          <w:bCs/>
          <w:sz w:val="24"/>
          <w:szCs w:val="24"/>
        </w:rPr>
        <w:t>供应商资格要求</w:t>
      </w:r>
      <w:bookmarkEnd w:id="51"/>
    </w:p>
    <w:p w14:paraId="7E2DB61E">
      <w:pPr>
        <w:spacing w:line="464" w:lineRule="exact"/>
        <w:ind w:firstLine="480" w:firstLineChars="200"/>
        <w:rPr>
          <w:rFonts w:hint="eastAsia" w:ascii="宋体" w:hAnsi="宋体" w:cs="宋体"/>
          <w:sz w:val="24"/>
          <w:szCs w:val="24"/>
        </w:rPr>
      </w:pPr>
      <w:r>
        <w:rPr>
          <w:rFonts w:hint="eastAsia" w:ascii="宋体" w:hAnsi="宋体" w:cs="宋体"/>
          <w:sz w:val="24"/>
          <w:szCs w:val="24"/>
        </w:rPr>
        <w:t>1.4.1供应商资格要求：详见竞争性磋商公告</w:t>
      </w:r>
    </w:p>
    <w:p w14:paraId="3AB0A6B1">
      <w:pPr>
        <w:spacing w:line="464" w:lineRule="exact"/>
        <w:ind w:firstLine="480" w:firstLineChars="200"/>
        <w:rPr>
          <w:rFonts w:hint="eastAsia" w:ascii="宋体" w:hAnsi="宋体" w:cs="宋体"/>
          <w:sz w:val="24"/>
          <w:szCs w:val="24"/>
        </w:rPr>
      </w:pPr>
      <w:r>
        <w:rPr>
          <w:rFonts w:hint="eastAsia" w:ascii="宋体" w:hAnsi="宋体" w:cs="宋体"/>
          <w:sz w:val="24"/>
          <w:szCs w:val="24"/>
        </w:rPr>
        <w:t>“供应商”是指符合《中华人民共和国政府采购法》及相关法律法规和本</w:t>
      </w:r>
      <w:r>
        <w:rPr>
          <w:rFonts w:hint="eastAsia" w:hAnsi="宋体" w:cs="宋体"/>
          <w:sz w:val="24"/>
          <w:szCs w:val="24"/>
        </w:rPr>
        <w:t>竞争性磋商文件</w:t>
      </w:r>
      <w:r>
        <w:rPr>
          <w:rFonts w:hint="eastAsia" w:ascii="宋体" w:hAnsi="宋体" w:cs="宋体"/>
          <w:sz w:val="24"/>
          <w:szCs w:val="24"/>
        </w:rPr>
        <w:t>的各项规定，且按照本项目招标公告及</w:t>
      </w:r>
      <w:r>
        <w:rPr>
          <w:rFonts w:hint="eastAsia" w:hAnsi="宋体" w:cs="宋体"/>
          <w:sz w:val="24"/>
          <w:szCs w:val="24"/>
        </w:rPr>
        <w:t>竞争性磋商文件</w:t>
      </w:r>
      <w:r>
        <w:rPr>
          <w:rFonts w:hint="eastAsia" w:ascii="宋体" w:hAnsi="宋体" w:cs="宋体"/>
          <w:sz w:val="24"/>
          <w:szCs w:val="24"/>
        </w:rPr>
        <w:t>规定的方式获取</w:t>
      </w:r>
      <w:r>
        <w:rPr>
          <w:rFonts w:hint="eastAsia" w:hAnsi="宋体" w:cs="宋体"/>
          <w:sz w:val="24"/>
          <w:szCs w:val="24"/>
        </w:rPr>
        <w:t>竞争性磋商文件</w:t>
      </w:r>
      <w:r>
        <w:rPr>
          <w:rFonts w:hint="eastAsia" w:ascii="宋体" w:hAnsi="宋体" w:cs="宋体"/>
          <w:sz w:val="24"/>
          <w:szCs w:val="24"/>
        </w:rPr>
        <w:t>，响应招标、参加磋商竞争，并按照</w:t>
      </w:r>
      <w:r>
        <w:rPr>
          <w:rFonts w:hint="eastAsia" w:hAnsi="宋体" w:cs="宋体"/>
          <w:sz w:val="24"/>
          <w:szCs w:val="24"/>
        </w:rPr>
        <w:t>竞争性磋商文件</w:t>
      </w:r>
      <w:r>
        <w:rPr>
          <w:rFonts w:hint="eastAsia" w:ascii="宋体" w:hAnsi="宋体" w:cs="宋体"/>
          <w:sz w:val="24"/>
          <w:szCs w:val="24"/>
        </w:rPr>
        <w:t>要求向采购人提交响应文件的法人、其他组织或者自然人。</w:t>
      </w:r>
    </w:p>
    <w:p w14:paraId="25F7AFA4">
      <w:pPr>
        <w:spacing w:line="464" w:lineRule="exact"/>
        <w:ind w:firstLine="480" w:firstLineChars="200"/>
        <w:rPr>
          <w:rFonts w:hint="eastAsia" w:ascii="宋体" w:hAnsi="宋体" w:cs="宋体"/>
          <w:sz w:val="24"/>
          <w:szCs w:val="24"/>
        </w:rPr>
      </w:pPr>
      <w:r>
        <w:rPr>
          <w:rFonts w:hint="eastAsia" w:ascii="宋体" w:hAnsi="宋体" w:cs="宋体"/>
          <w:sz w:val="24"/>
          <w:szCs w:val="24"/>
        </w:rPr>
        <w:t>“潜在供应商”指符合《中华人民共和国政府采购法》及相关法律法规和本</w:t>
      </w:r>
      <w:r>
        <w:rPr>
          <w:rFonts w:hint="eastAsia" w:hAnsi="宋体" w:cs="宋体"/>
          <w:sz w:val="24"/>
          <w:szCs w:val="24"/>
        </w:rPr>
        <w:t>竞争性磋商文件</w:t>
      </w:r>
      <w:r>
        <w:rPr>
          <w:rFonts w:hint="eastAsia" w:ascii="宋体" w:hAnsi="宋体" w:cs="宋体"/>
          <w:sz w:val="24"/>
          <w:szCs w:val="24"/>
        </w:rPr>
        <w:t>的各项规定，且按照本项目招标公告及</w:t>
      </w:r>
      <w:r>
        <w:rPr>
          <w:rFonts w:hint="eastAsia" w:hAnsi="宋体" w:cs="宋体"/>
          <w:sz w:val="24"/>
          <w:szCs w:val="24"/>
        </w:rPr>
        <w:t>竞争性磋商文件</w:t>
      </w:r>
      <w:r>
        <w:rPr>
          <w:rFonts w:hint="eastAsia" w:ascii="宋体" w:hAnsi="宋体" w:cs="宋体"/>
          <w:sz w:val="24"/>
          <w:szCs w:val="24"/>
        </w:rPr>
        <w:t>规定的方式获取</w:t>
      </w:r>
      <w:r>
        <w:rPr>
          <w:rFonts w:hint="eastAsia" w:hAnsi="宋体" w:cs="宋体"/>
          <w:sz w:val="24"/>
          <w:szCs w:val="24"/>
        </w:rPr>
        <w:t>竞争性磋商文件</w:t>
      </w:r>
      <w:r>
        <w:rPr>
          <w:rFonts w:hint="eastAsia" w:ascii="宋体" w:hAnsi="宋体" w:cs="宋体"/>
          <w:sz w:val="24"/>
          <w:szCs w:val="24"/>
        </w:rPr>
        <w:t>的法人、其他组织或者自然人。</w:t>
      </w:r>
    </w:p>
    <w:p w14:paraId="2A19EA2A">
      <w:pPr>
        <w:spacing w:line="464" w:lineRule="exact"/>
        <w:ind w:firstLine="480" w:firstLineChars="200"/>
        <w:rPr>
          <w:rFonts w:hint="eastAsia" w:ascii="宋体" w:hAnsi="宋体" w:cs="宋体"/>
          <w:sz w:val="24"/>
          <w:szCs w:val="24"/>
        </w:rPr>
      </w:pPr>
      <w:r>
        <w:rPr>
          <w:rFonts w:hint="eastAsia" w:asciiTheme="minorEastAsia" w:hAnsiTheme="minorEastAsia" w:eastAsiaTheme="minorEastAsia"/>
          <w:sz w:val="24"/>
          <w:szCs w:val="24"/>
        </w:rPr>
        <w:t xml:space="preserve">1.4.2 </w:t>
      </w:r>
      <w:bookmarkStart w:id="52" w:name="_Hlk204325564"/>
      <w:r>
        <w:rPr>
          <w:rFonts w:hint="eastAsia" w:asciiTheme="minorEastAsia" w:hAnsiTheme="minorEastAsia" w:eastAsiaTheme="minorEastAsia"/>
          <w:sz w:val="24"/>
          <w:szCs w:val="24"/>
        </w:rPr>
        <w:t>本项目不接受联合体投标</w:t>
      </w:r>
      <w:bookmarkEnd w:id="52"/>
      <w:r>
        <w:rPr>
          <w:rFonts w:hint="eastAsia" w:asciiTheme="minorEastAsia" w:hAnsiTheme="minorEastAsia" w:eastAsiaTheme="minorEastAsia"/>
          <w:sz w:val="24"/>
          <w:szCs w:val="24"/>
        </w:rPr>
        <w:t>。</w:t>
      </w:r>
    </w:p>
    <w:p w14:paraId="3F3920F4">
      <w:pPr>
        <w:spacing w:line="464" w:lineRule="exact"/>
        <w:ind w:firstLine="480" w:firstLineChars="200"/>
        <w:rPr>
          <w:rFonts w:hint="eastAsia" w:ascii="宋体" w:hAnsi="宋体" w:cs="宋体"/>
          <w:sz w:val="24"/>
          <w:szCs w:val="24"/>
        </w:rPr>
      </w:pPr>
      <w:r>
        <w:rPr>
          <w:rFonts w:ascii="宋体" w:hAnsi="宋体" w:cs="宋体"/>
          <w:sz w:val="24"/>
          <w:szCs w:val="24"/>
        </w:rPr>
        <w:t xml:space="preserve">1.4.3 供应商不得存在下列情形之一： </w:t>
      </w:r>
    </w:p>
    <w:p w14:paraId="0DB2065D">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w:t>
      </w:r>
      <w:r>
        <w:rPr>
          <w:rFonts w:ascii="宋体" w:hAnsi="宋体" w:cs="宋体"/>
          <w:sz w:val="24"/>
          <w:szCs w:val="24"/>
        </w:rPr>
        <w:t>）为</w:t>
      </w:r>
      <w:r>
        <w:rPr>
          <w:rFonts w:hint="eastAsia" w:ascii="宋体" w:hAnsi="宋体" w:cs="宋体"/>
          <w:sz w:val="24"/>
          <w:szCs w:val="24"/>
        </w:rPr>
        <w:t>采购人</w:t>
      </w:r>
      <w:r>
        <w:rPr>
          <w:rFonts w:ascii="宋体" w:hAnsi="宋体" w:cs="宋体"/>
          <w:sz w:val="24"/>
          <w:szCs w:val="24"/>
        </w:rPr>
        <w:t xml:space="preserve">不具有独立法人资格的附属机构（单位）； </w:t>
      </w:r>
    </w:p>
    <w:p w14:paraId="01AAC979">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2</w:t>
      </w:r>
      <w:r>
        <w:rPr>
          <w:rFonts w:ascii="宋体" w:hAnsi="宋体" w:cs="宋体"/>
          <w:sz w:val="24"/>
          <w:szCs w:val="24"/>
        </w:rPr>
        <w:t>）与</w:t>
      </w:r>
      <w:r>
        <w:rPr>
          <w:rFonts w:hint="eastAsia" w:ascii="宋体" w:hAnsi="宋体" w:cs="宋体"/>
          <w:sz w:val="24"/>
          <w:szCs w:val="24"/>
        </w:rPr>
        <w:t>采购</w:t>
      </w:r>
      <w:r>
        <w:rPr>
          <w:rFonts w:ascii="宋体" w:hAnsi="宋体" w:cs="宋体"/>
          <w:sz w:val="24"/>
          <w:szCs w:val="24"/>
        </w:rPr>
        <w:t xml:space="preserve">人存在利害关系且可能影响招标公正性； </w:t>
      </w:r>
    </w:p>
    <w:p w14:paraId="0FFFD677">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 xml:space="preserve">）与本招标项目的其他供应商为同一个单位负责人； </w:t>
      </w:r>
    </w:p>
    <w:p w14:paraId="64D34CDA">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4</w:t>
      </w:r>
      <w:r>
        <w:rPr>
          <w:rFonts w:ascii="宋体" w:hAnsi="宋体" w:cs="宋体"/>
          <w:sz w:val="24"/>
          <w:szCs w:val="24"/>
        </w:rPr>
        <w:t xml:space="preserve">）与本招标项目的其他供应商存在控股、管理关系； </w:t>
      </w:r>
    </w:p>
    <w:p w14:paraId="19382BD4">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 xml:space="preserve">）为本项目前期准备提供设计或咨询服务的，但设计施工总承包的除外； </w:t>
      </w:r>
    </w:p>
    <w:p w14:paraId="1AF61552">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6</w:t>
      </w:r>
      <w:r>
        <w:rPr>
          <w:rFonts w:ascii="宋体" w:hAnsi="宋体" w:cs="宋体"/>
          <w:sz w:val="24"/>
          <w:szCs w:val="24"/>
        </w:rPr>
        <w:t>）为本招标项目的招标代理机构；</w:t>
      </w:r>
    </w:p>
    <w:p w14:paraId="6D9CB231">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7</w:t>
      </w:r>
      <w:r>
        <w:rPr>
          <w:rFonts w:ascii="宋体" w:hAnsi="宋体" w:cs="宋体"/>
          <w:sz w:val="24"/>
          <w:szCs w:val="24"/>
        </w:rPr>
        <w:t>）与本招标项目的招标代理机构同为一个法定代表人；</w:t>
      </w:r>
    </w:p>
    <w:p w14:paraId="2F6D05FA">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8</w:t>
      </w:r>
      <w:r>
        <w:rPr>
          <w:rFonts w:ascii="宋体" w:hAnsi="宋体" w:cs="宋体"/>
          <w:sz w:val="24"/>
          <w:szCs w:val="24"/>
        </w:rPr>
        <w:t>）与本招标项目的招标代理机构存在控股或参股关系；</w:t>
      </w:r>
    </w:p>
    <w:p w14:paraId="048B0B2F">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9</w:t>
      </w:r>
      <w:r>
        <w:rPr>
          <w:rFonts w:ascii="宋体" w:hAnsi="宋体" w:cs="宋体"/>
          <w:sz w:val="24"/>
          <w:szCs w:val="24"/>
        </w:rPr>
        <w:t>）与本招标项目的招标代理机构相互任职或工作的；</w:t>
      </w:r>
    </w:p>
    <w:p w14:paraId="6538C8DD">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10</w:t>
      </w:r>
      <w:r>
        <w:rPr>
          <w:rFonts w:ascii="宋体" w:hAnsi="宋体" w:cs="宋体"/>
          <w:sz w:val="24"/>
          <w:szCs w:val="24"/>
        </w:rPr>
        <w:t>）被依法暂停或者取消投标资格；</w:t>
      </w:r>
    </w:p>
    <w:p w14:paraId="4E7EA85E">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11</w:t>
      </w:r>
      <w:r>
        <w:rPr>
          <w:rFonts w:ascii="宋体" w:hAnsi="宋体" w:cs="宋体"/>
          <w:sz w:val="24"/>
          <w:szCs w:val="24"/>
        </w:rPr>
        <w:t xml:space="preserve">）被责令停产停业、暂扣或者吊销许可证、暂扣或者吊销执照； </w:t>
      </w:r>
    </w:p>
    <w:p w14:paraId="6C0DEF12">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12</w:t>
      </w:r>
      <w:r>
        <w:rPr>
          <w:rFonts w:ascii="宋体" w:hAnsi="宋体" w:cs="宋体"/>
          <w:sz w:val="24"/>
          <w:szCs w:val="24"/>
        </w:rPr>
        <w:t>）进入清算程序，或被宣告破产，或其他丧失履约能力的情形；</w:t>
      </w:r>
    </w:p>
    <w:p w14:paraId="6D9965F8">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13</w:t>
      </w:r>
      <w:r>
        <w:rPr>
          <w:rFonts w:ascii="宋体" w:hAnsi="宋体" w:cs="宋体"/>
          <w:sz w:val="24"/>
          <w:szCs w:val="24"/>
        </w:rPr>
        <w:t>）在最近三年内有骗取中标或严重违约或重大工程质量问题的；</w:t>
      </w:r>
    </w:p>
    <w:p w14:paraId="30E9D29B">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14</w:t>
      </w:r>
      <w:r>
        <w:rPr>
          <w:rFonts w:ascii="宋体" w:hAnsi="宋体" w:cs="宋体"/>
          <w:sz w:val="24"/>
          <w:szCs w:val="24"/>
        </w:rPr>
        <w:t xml:space="preserve">）被工商行政管理机关在全国企业信用信息公示系统中列入严重违法失信企业名单； </w:t>
      </w:r>
    </w:p>
    <w:p w14:paraId="1541535C">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15</w:t>
      </w:r>
      <w:r>
        <w:rPr>
          <w:rFonts w:ascii="宋体" w:hAnsi="宋体" w:cs="宋体"/>
          <w:sz w:val="24"/>
          <w:szCs w:val="24"/>
        </w:rPr>
        <w:t>）</w:t>
      </w:r>
      <w:r>
        <w:rPr>
          <w:rFonts w:hint="eastAsia" w:ascii="宋体" w:hAnsi="宋体" w:cs="宋体"/>
          <w:sz w:val="24"/>
          <w:szCs w:val="24"/>
        </w:rPr>
        <w:t>被列入“中国执行信息公开网”</w:t>
      </w:r>
      <w:r>
        <w:rPr>
          <w:rFonts w:ascii="宋体" w:hAnsi="宋体" w:cs="宋体"/>
          <w:sz w:val="24"/>
          <w:szCs w:val="24"/>
        </w:rPr>
        <w:t>网站失信被执行人名单的供应商</w:t>
      </w:r>
      <w:r>
        <w:rPr>
          <w:rFonts w:hint="eastAsia" w:ascii="宋体" w:hAnsi="宋体" w:cs="宋体"/>
          <w:sz w:val="24"/>
          <w:szCs w:val="24"/>
        </w:rPr>
        <w:t>；被列入</w:t>
      </w:r>
      <w:r>
        <w:rPr>
          <w:rFonts w:ascii="宋体" w:hAnsi="宋体" w:cs="宋体"/>
          <w:sz w:val="24"/>
          <w:szCs w:val="24"/>
        </w:rPr>
        <w:t xml:space="preserve">“信用中国”网站重大税收违法案件当事人名单的供应商；被列入“中国政府采购网”政府采购严重违法失信行为记录名单的供应商。 </w:t>
      </w:r>
    </w:p>
    <w:p w14:paraId="0627BC1A">
      <w:pPr>
        <w:spacing w:line="464"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16</w:t>
      </w:r>
      <w:r>
        <w:rPr>
          <w:rFonts w:ascii="宋体" w:hAnsi="宋体" w:cs="宋体"/>
          <w:sz w:val="24"/>
          <w:szCs w:val="24"/>
        </w:rPr>
        <w:t>）法律法规或供应商须知前附表规定的其他情形。</w:t>
      </w:r>
    </w:p>
    <w:p w14:paraId="3D67F674">
      <w:pPr>
        <w:spacing w:line="464" w:lineRule="exact"/>
        <w:rPr>
          <w:rFonts w:ascii="宋体" w:cs="宋体"/>
          <w:b/>
          <w:bCs/>
          <w:sz w:val="24"/>
          <w:szCs w:val="24"/>
        </w:rPr>
      </w:pPr>
      <w:bookmarkStart w:id="53" w:name="_Toc325553555"/>
      <w:bookmarkEnd w:id="53"/>
      <w:bookmarkStart w:id="54" w:name="_Toc152045535"/>
      <w:bookmarkEnd w:id="54"/>
      <w:bookmarkStart w:id="55" w:name="_Toc152042311"/>
      <w:bookmarkEnd w:id="55"/>
      <w:bookmarkStart w:id="56" w:name="_Toc330304862"/>
      <w:bookmarkEnd w:id="56"/>
      <w:bookmarkStart w:id="57" w:name="_Toc144974503"/>
      <w:bookmarkEnd w:id="57"/>
      <w:bookmarkStart w:id="58" w:name="_Toc16001"/>
      <w:r>
        <w:rPr>
          <w:rFonts w:ascii="宋体" w:hAnsi="宋体" w:cs="宋体"/>
          <w:b/>
          <w:bCs/>
          <w:sz w:val="24"/>
          <w:szCs w:val="24"/>
        </w:rPr>
        <w:t xml:space="preserve">1.5 </w:t>
      </w:r>
      <w:r>
        <w:rPr>
          <w:rFonts w:hint="eastAsia" w:ascii="宋体" w:hAnsi="宋体" w:cs="宋体"/>
          <w:b/>
          <w:bCs/>
          <w:sz w:val="24"/>
          <w:szCs w:val="24"/>
        </w:rPr>
        <w:t>费用承担</w:t>
      </w:r>
      <w:bookmarkEnd w:id="58"/>
      <w:r>
        <w:rPr>
          <w:rFonts w:hint="eastAsia" w:ascii="宋体" w:hAnsi="宋体" w:cs="宋体"/>
          <w:b/>
          <w:bCs/>
          <w:sz w:val="24"/>
          <w:szCs w:val="24"/>
        </w:rPr>
        <w:t>与补偿</w:t>
      </w:r>
    </w:p>
    <w:p w14:paraId="5866A525">
      <w:pPr>
        <w:spacing w:line="464" w:lineRule="exact"/>
        <w:ind w:firstLine="480" w:firstLineChars="200"/>
        <w:rPr>
          <w:rFonts w:ascii="宋体" w:cs="宋体"/>
          <w:sz w:val="24"/>
          <w:szCs w:val="24"/>
        </w:rPr>
      </w:pPr>
      <w:bookmarkStart w:id="59" w:name="_Toc325553556"/>
      <w:bookmarkEnd w:id="59"/>
      <w:bookmarkStart w:id="60" w:name="_Toc330304863"/>
      <w:bookmarkEnd w:id="60"/>
      <w:bookmarkStart w:id="61" w:name="_Toc152042312"/>
      <w:bookmarkEnd w:id="61"/>
      <w:bookmarkStart w:id="62" w:name="_Toc144974504"/>
      <w:bookmarkEnd w:id="62"/>
      <w:bookmarkStart w:id="63" w:name="_Toc152045536"/>
      <w:bookmarkEnd w:id="63"/>
      <w:bookmarkStart w:id="64" w:name="_Toc32088"/>
      <w:r>
        <w:rPr>
          <w:rFonts w:ascii="宋体" w:hAnsi="宋体" w:cs="宋体"/>
          <w:sz w:val="24"/>
          <w:szCs w:val="24"/>
        </w:rPr>
        <w:t>1.5.1</w:t>
      </w:r>
      <w:r>
        <w:rPr>
          <w:rFonts w:hint="eastAsia" w:ascii="宋体" w:hAnsi="宋体" w:cs="宋体"/>
          <w:sz w:val="24"/>
          <w:szCs w:val="24"/>
        </w:rPr>
        <w:t>供应商在投标过程中发生的一切费用，无论中标与否，均由供应商自行承担；</w:t>
      </w:r>
    </w:p>
    <w:p w14:paraId="74DA5095">
      <w:pPr>
        <w:spacing w:line="464" w:lineRule="exact"/>
        <w:ind w:firstLine="480" w:firstLineChars="200"/>
        <w:rPr>
          <w:rFonts w:ascii="宋体" w:cs="宋体"/>
          <w:sz w:val="24"/>
          <w:szCs w:val="24"/>
        </w:rPr>
      </w:pPr>
      <w:r>
        <w:rPr>
          <w:rFonts w:ascii="宋体" w:hAnsi="宋体" w:cs="宋体"/>
          <w:sz w:val="24"/>
          <w:szCs w:val="24"/>
        </w:rPr>
        <w:t>1.5.2</w:t>
      </w:r>
      <w:r>
        <w:rPr>
          <w:rFonts w:hint="eastAsia" w:ascii="宋体" w:hAnsi="宋体" w:cs="宋体"/>
          <w:sz w:val="24"/>
          <w:szCs w:val="24"/>
        </w:rPr>
        <w:t>供应商在投标过程中的所有投标相关材料归采购人所有，本次招标无补偿费用；</w:t>
      </w:r>
    </w:p>
    <w:p w14:paraId="765263A7">
      <w:pPr>
        <w:spacing w:line="464" w:lineRule="exact"/>
        <w:ind w:firstLine="480" w:firstLineChars="200"/>
        <w:rPr>
          <w:rFonts w:ascii="宋体" w:cs="宋体"/>
          <w:sz w:val="24"/>
          <w:szCs w:val="24"/>
        </w:rPr>
      </w:pPr>
      <w:r>
        <w:rPr>
          <w:rFonts w:ascii="宋体" w:hAnsi="宋体" w:cs="宋体"/>
          <w:sz w:val="24"/>
          <w:szCs w:val="24"/>
        </w:rPr>
        <w:t>1.5.3</w:t>
      </w:r>
      <w:r>
        <w:rPr>
          <w:rFonts w:hint="eastAsia" w:ascii="宋体" w:hAnsi="宋体" w:cs="宋体"/>
          <w:sz w:val="24"/>
          <w:szCs w:val="24"/>
        </w:rPr>
        <w:t>在任何情况下采购人和采购代理机构对上述费用不承担任何责任；</w:t>
      </w:r>
    </w:p>
    <w:p w14:paraId="51C603DD">
      <w:pPr>
        <w:spacing w:line="464" w:lineRule="exact"/>
        <w:ind w:firstLine="480" w:firstLineChars="200"/>
        <w:rPr>
          <w:rFonts w:ascii="宋体" w:cs="宋体"/>
          <w:sz w:val="24"/>
          <w:szCs w:val="24"/>
        </w:rPr>
      </w:pPr>
      <w:r>
        <w:rPr>
          <w:rFonts w:ascii="宋体" w:hAnsi="宋体" w:cs="宋体"/>
          <w:sz w:val="24"/>
          <w:szCs w:val="24"/>
        </w:rPr>
        <w:t>1.5.4</w:t>
      </w:r>
      <w:r>
        <w:rPr>
          <w:rFonts w:hint="eastAsia" w:ascii="宋体" w:hAnsi="宋体" w:cs="宋体"/>
          <w:sz w:val="24"/>
          <w:szCs w:val="24"/>
        </w:rPr>
        <w:t>本次招标招标代理服务费由成交的供应商支付。</w:t>
      </w:r>
    </w:p>
    <w:p w14:paraId="348F1B6A">
      <w:pPr>
        <w:spacing w:line="464" w:lineRule="exact"/>
        <w:rPr>
          <w:rFonts w:ascii="宋体" w:cs="宋体"/>
          <w:b/>
          <w:bCs/>
          <w:sz w:val="24"/>
          <w:szCs w:val="24"/>
        </w:rPr>
      </w:pPr>
      <w:r>
        <w:rPr>
          <w:rFonts w:ascii="宋体" w:hAnsi="宋体" w:cs="宋体"/>
          <w:b/>
          <w:bCs/>
          <w:sz w:val="24"/>
          <w:szCs w:val="24"/>
        </w:rPr>
        <w:t xml:space="preserve">1.6 </w:t>
      </w:r>
      <w:r>
        <w:rPr>
          <w:rFonts w:hint="eastAsia" w:ascii="宋体" w:hAnsi="宋体" w:cs="宋体"/>
          <w:b/>
          <w:bCs/>
          <w:sz w:val="24"/>
          <w:szCs w:val="24"/>
        </w:rPr>
        <w:t>保密</w:t>
      </w:r>
      <w:bookmarkEnd w:id="64"/>
    </w:p>
    <w:p w14:paraId="711B7B16">
      <w:pPr>
        <w:spacing w:line="464" w:lineRule="exact"/>
        <w:ind w:firstLine="480" w:firstLineChars="200"/>
        <w:rPr>
          <w:rFonts w:hint="eastAsia" w:ascii="宋体" w:hAnsi="宋体" w:cs="宋体"/>
          <w:sz w:val="24"/>
          <w:szCs w:val="24"/>
        </w:rPr>
      </w:pPr>
      <w:r>
        <w:rPr>
          <w:rFonts w:hint="eastAsia" w:ascii="宋体" w:hAnsi="宋体" w:cs="宋体"/>
          <w:sz w:val="24"/>
          <w:szCs w:val="24"/>
        </w:rPr>
        <w:t>参与招标投标活动的各方应对</w:t>
      </w:r>
      <w:r>
        <w:rPr>
          <w:rFonts w:hint="eastAsia" w:hAnsi="宋体" w:cs="宋体"/>
          <w:sz w:val="24"/>
          <w:szCs w:val="24"/>
        </w:rPr>
        <w:t>竞争性磋商文件</w:t>
      </w:r>
      <w:r>
        <w:rPr>
          <w:rFonts w:hint="eastAsia" w:ascii="宋体" w:hAnsi="宋体" w:cs="宋体"/>
          <w:sz w:val="24"/>
          <w:szCs w:val="24"/>
        </w:rPr>
        <w:t>和响应文件中的商业和技术等秘密保密，违者应对由此造成的后果承担法律责任。</w:t>
      </w:r>
    </w:p>
    <w:p w14:paraId="464DE311">
      <w:pPr>
        <w:spacing w:line="464" w:lineRule="exact"/>
        <w:rPr>
          <w:rFonts w:ascii="宋体" w:cs="宋体"/>
          <w:b/>
          <w:bCs/>
          <w:sz w:val="24"/>
          <w:szCs w:val="24"/>
        </w:rPr>
      </w:pPr>
      <w:bookmarkStart w:id="65" w:name="_Toc325553557"/>
      <w:bookmarkEnd w:id="65"/>
      <w:bookmarkStart w:id="66" w:name="_Toc152042313"/>
      <w:bookmarkEnd w:id="66"/>
      <w:bookmarkStart w:id="67" w:name="_Toc330304864"/>
      <w:bookmarkEnd w:id="67"/>
      <w:bookmarkStart w:id="68" w:name="_Toc152045537"/>
      <w:bookmarkEnd w:id="68"/>
      <w:bookmarkStart w:id="69" w:name="_Toc144974505"/>
      <w:bookmarkEnd w:id="69"/>
      <w:bookmarkStart w:id="70" w:name="_Toc22960"/>
      <w:r>
        <w:rPr>
          <w:rFonts w:ascii="宋体" w:hAnsi="宋体" w:cs="宋体"/>
          <w:b/>
          <w:bCs/>
          <w:sz w:val="24"/>
          <w:szCs w:val="24"/>
        </w:rPr>
        <w:t xml:space="preserve">1.7 </w:t>
      </w:r>
      <w:r>
        <w:rPr>
          <w:rFonts w:hint="eastAsia" w:ascii="宋体" w:hAnsi="宋体" w:cs="宋体"/>
          <w:b/>
          <w:bCs/>
          <w:sz w:val="24"/>
          <w:szCs w:val="24"/>
        </w:rPr>
        <w:t>语言</w:t>
      </w:r>
      <w:bookmarkEnd w:id="70"/>
      <w:r>
        <w:rPr>
          <w:rFonts w:hint="eastAsia" w:ascii="宋体" w:hAnsi="宋体" w:cs="宋体"/>
          <w:b/>
          <w:bCs/>
          <w:sz w:val="24"/>
          <w:szCs w:val="24"/>
        </w:rPr>
        <w:t>文字</w:t>
      </w:r>
    </w:p>
    <w:p w14:paraId="350CE88E">
      <w:pPr>
        <w:spacing w:line="464" w:lineRule="exact"/>
        <w:ind w:firstLine="480" w:firstLineChars="200"/>
        <w:rPr>
          <w:rFonts w:ascii="宋体" w:cs="宋体"/>
          <w:sz w:val="24"/>
          <w:szCs w:val="24"/>
        </w:rPr>
      </w:pPr>
      <w:r>
        <w:rPr>
          <w:rFonts w:hint="eastAsia" w:ascii="宋体" w:hAnsi="宋体" w:cs="宋体"/>
          <w:sz w:val="24"/>
          <w:szCs w:val="24"/>
        </w:rPr>
        <w:t>除专用术语外，与招标投标有关的语言均使用中文。必要时专用术语应附有中文注释。</w:t>
      </w:r>
    </w:p>
    <w:p w14:paraId="4B426035">
      <w:pPr>
        <w:spacing w:line="464" w:lineRule="exact"/>
        <w:rPr>
          <w:rFonts w:ascii="宋体" w:cs="宋体"/>
          <w:b/>
          <w:bCs/>
          <w:sz w:val="24"/>
          <w:szCs w:val="24"/>
        </w:rPr>
      </w:pPr>
      <w:bookmarkStart w:id="71" w:name="_Toc144974506"/>
      <w:bookmarkEnd w:id="71"/>
      <w:bookmarkStart w:id="72" w:name="_Toc152045538"/>
      <w:bookmarkEnd w:id="72"/>
      <w:bookmarkStart w:id="73" w:name="_Toc330304865"/>
      <w:bookmarkEnd w:id="73"/>
      <w:bookmarkStart w:id="74" w:name="_Toc325553558"/>
      <w:bookmarkEnd w:id="74"/>
      <w:bookmarkStart w:id="75" w:name="_Toc152042314"/>
      <w:bookmarkEnd w:id="75"/>
      <w:bookmarkStart w:id="76" w:name="_Toc28485"/>
      <w:r>
        <w:rPr>
          <w:rFonts w:ascii="宋体" w:hAnsi="宋体" w:cs="宋体"/>
          <w:b/>
          <w:bCs/>
          <w:sz w:val="24"/>
          <w:szCs w:val="24"/>
        </w:rPr>
        <w:t xml:space="preserve">1.8 </w:t>
      </w:r>
      <w:r>
        <w:rPr>
          <w:rFonts w:hint="eastAsia" w:ascii="宋体" w:hAnsi="宋体" w:cs="宋体"/>
          <w:b/>
          <w:bCs/>
          <w:sz w:val="24"/>
          <w:szCs w:val="24"/>
        </w:rPr>
        <w:t>计量单位</w:t>
      </w:r>
      <w:bookmarkEnd w:id="76"/>
    </w:p>
    <w:p w14:paraId="4C71BC2D">
      <w:pPr>
        <w:spacing w:line="464" w:lineRule="exact"/>
        <w:ind w:firstLine="480" w:firstLineChars="200"/>
        <w:rPr>
          <w:rFonts w:ascii="宋体" w:cs="宋体"/>
          <w:sz w:val="24"/>
          <w:szCs w:val="24"/>
        </w:rPr>
      </w:pPr>
      <w:r>
        <w:rPr>
          <w:rFonts w:hint="eastAsia" w:ascii="宋体" w:hAnsi="宋体" w:cs="宋体"/>
          <w:sz w:val="24"/>
          <w:szCs w:val="24"/>
        </w:rPr>
        <w:t>所有计量均采用中华人民共和国法定计量单位。</w:t>
      </w:r>
    </w:p>
    <w:p w14:paraId="424CEBE8">
      <w:pPr>
        <w:spacing w:line="464" w:lineRule="exact"/>
        <w:rPr>
          <w:rFonts w:ascii="宋体" w:cs="宋体"/>
          <w:b/>
          <w:bCs/>
          <w:sz w:val="24"/>
          <w:szCs w:val="24"/>
        </w:rPr>
      </w:pPr>
      <w:bookmarkStart w:id="77" w:name="_Toc330304866"/>
      <w:bookmarkEnd w:id="77"/>
      <w:bookmarkStart w:id="78" w:name="_Toc152045539"/>
      <w:bookmarkEnd w:id="78"/>
      <w:bookmarkStart w:id="79" w:name="_Toc325553559"/>
      <w:bookmarkEnd w:id="79"/>
      <w:bookmarkStart w:id="80" w:name="_Toc144974507"/>
      <w:bookmarkEnd w:id="80"/>
      <w:bookmarkStart w:id="81" w:name="_Toc152042315"/>
      <w:bookmarkEnd w:id="81"/>
      <w:bookmarkStart w:id="82" w:name="_Toc3868"/>
      <w:r>
        <w:rPr>
          <w:rFonts w:ascii="宋体" w:hAnsi="宋体" w:cs="宋体"/>
          <w:b/>
          <w:bCs/>
          <w:sz w:val="24"/>
          <w:szCs w:val="24"/>
        </w:rPr>
        <w:t xml:space="preserve">1.9 </w:t>
      </w:r>
      <w:r>
        <w:rPr>
          <w:rFonts w:hint="eastAsia" w:ascii="宋体" w:hAnsi="宋体" w:cs="宋体"/>
          <w:b/>
          <w:bCs/>
          <w:sz w:val="24"/>
          <w:szCs w:val="24"/>
        </w:rPr>
        <w:t>踏勘现场</w:t>
      </w:r>
      <w:bookmarkEnd w:id="82"/>
    </w:p>
    <w:p w14:paraId="1C02E9CB">
      <w:pPr>
        <w:spacing w:line="464" w:lineRule="exact"/>
        <w:ind w:firstLine="480" w:firstLineChars="200"/>
        <w:rPr>
          <w:rFonts w:hint="eastAsia" w:ascii="宋体" w:hAnsi="宋体" w:cs="宋体"/>
          <w:sz w:val="24"/>
          <w:szCs w:val="24"/>
        </w:rPr>
      </w:pPr>
      <w:r>
        <w:rPr>
          <w:rFonts w:ascii="宋体" w:hAnsi="宋体" w:cs="宋体"/>
          <w:sz w:val="24"/>
          <w:szCs w:val="24"/>
        </w:rPr>
        <w:t xml:space="preserve">1.9.1 </w:t>
      </w:r>
      <w:r>
        <w:rPr>
          <w:rFonts w:hint="eastAsia" w:ascii="宋体" w:hAnsi="宋体" w:cs="宋体"/>
          <w:sz w:val="24"/>
          <w:szCs w:val="24"/>
        </w:rPr>
        <w:t>供应商须知前附表规定组织踏勘现场的，采购人按供应商须知前附表规定的时间、地点组织供应商踏勘项目现场。</w:t>
      </w:r>
      <w:r>
        <w:rPr>
          <w:rFonts w:ascii="宋体" w:hAnsi="宋体" w:cs="宋体"/>
          <w:sz w:val="24"/>
          <w:szCs w:val="24"/>
        </w:rPr>
        <w:t xml:space="preserve">供应商如不参加或未按时参加，其风险由供应商自行承担，采购人不承担任何责任。 </w:t>
      </w:r>
    </w:p>
    <w:p w14:paraId="36CFC14D">
      <w:pPr>
        <w:spacing w:line="464" w:lineRule="exact"/>
        <w:ind w:firstLine="480" w:firstLineChars="200"/>
        <w:rPr>
          <w:rFonts w:ascii="宋体" w:cs="宋体"/>
          <w:sz w:val="24"/>
          <w:szCs w:val="24"/>
        </w:rPr>
      </w:pPr>
      <w:r>
        <w:rPr>
          <w:rFonts w:ascii="宋体" w:hAnsi="宋体" w:cs="宋体"/>
          <w:sz w:val="24"/>
          <w:szCs w:val="24"/>
        </w:rPr>
        <w:t>1.9.2 参加现场勘踏所发生的费用及一切责任由供应商自行承担。</w:t>
      </w:r>
    </w:p>
    <w:p w14:paraId="5B37756C">
      <w:pPr>
        <w:spacing w:line="464" w:lineRule="exact"/>
        <w:ind w:firstLine="480" w:firstLineChars="200"/>
        <w:rPr>
          <w:rFonts w:ascii="宋体" w:cs="宋体"/>
          <w:sz w:val="24"/>
          <w:szCs w:val="24"/>
        </w:rPr>
      </w:pPr>
      <w:r>
        <w:rPr>
          <w:rFonts w:ascii="宋体" w:hAnsi="宋体" w:cs="宋体"/>
          <w:sz w:val="24"/>
          <w:szCs w:val="24"/>
        </w:rPr>
        <w:t xml:space="preserve">1.9.3 </w:t>
      </w:r>
      <w:r>
        <w:rPr>
          <w:rFonts w:hint="eastAsia" w:ascii="宋体" w:hAnsi="宋体" w:cs="宋体"/>
          <w:sz w:val="24"/>
          <w:szCs w:val="24"/>
        </w:rPr>
        <w:t>除采购人的原因外，供应商自行负责在踏勘现场中所发生的人员伤亡和财产损失。</w:t>
      </w:r>
    </w:p>
    <w:p w14:paraId="79A090E4">
      <w:pPr>
        <w:spacing w:line="464" w:lineRule="exact"/>
        <w:ind w:firstLine="480" w:firstLineChars="200"/>
        <w:rPr>
          <w:rFonts w:ascii="宋体" w:cs="宋体"/>
          <w:sz w:val="24"/>
          <w:szCs w:val="24"/>
        </w:rPr>
      </w:pPr>
      <w:r>
        <w:rPr>
          <w:rFonts w:ascii="宋体" w:hAnsi="宋体" w:cs="宋体"/>
          <w:sz w:val="24"/>
          <w:szCs w:val="24"/>
        </w:rPr>
        <w:t>1.9.4 采购人在勘踏现场口头介绍的情况，除采购人事后形成书面记录、并以澄清或修改公告的形式发布、构成</w:t>
      </w:r>
      <w:r>
        <w:rPr>
          <w:rFonts w:hint="eastAsia" w:hAnsi="宋体" w:cs="宋体"/>
          <w:sz w:val="24"/>
          <w:szCs w:val="24"/>
        </w:rPr>
        <w:t>竞争性磋商文件</w:t>
      </w:r>
      <w:r>
        <w:rPr>
          <w:rFonts w:ascii="宋体" w:hAnsi="宋体" w:cs="宋体"/>
          <w:sz w:val="24"/>
          <w:szCs w:val="24"/>
        </w:rPr>
        <w:t>的组成部分以外，其他内容仅供供应商在编制</w:t>
      </w:r>
      <w:r>
        <w:rPr>
          <w:rFonts w:hint="eastAsia" w:ascii="宋体" w:hAnsi="宋体" w:cs="宋体"/>
          <w:sz w:val="24"/>
          <w:szCs w:val="24"/>
        </w:rPr>
        <w:t>响应</w:t>
      </w:r>
      <w:r>
        <w:rPr>
          <w:rFonts w:ascii="宋体" w:hAnsi="宋体" w:cs="宋体"/>
          <w:sz w:val="24"/>
          <w:szCs w:val="24"/>
        </w:rPr>
        <w:t>文件时参考，采购人不对供应商据此作出的判断和决策负责</w:t>
      </w:r>
      <w:r>
        <w:rPr>
          <w:rFonts w:hint="eastAsia" w:ascii="宋体" w:hAnsi="宋体" w:cs="宋体"/>
          <w:sz w:val="24"/>
          <w:szCs w:val="24"/>
        </w:rPr>
        <w:t>。</w:t>
      </w:r>
    </w:p>
    <w:p w14:paraId="1FE360CF">
      <w:pPr>
        <w:spacing w:line="464" w:lineRule="exact"/>
        <w:rPr>
          <w:rFonts w:ascii="宋体" w:cs="宋体"/>
          <w:b/>
          <w:bCs/>
          <w:sz w:val="24"/>
          <w:szCs w:val="24"/>
        </w:rPr>
      </w:pPr>
      <w:bookmarkStart w:id="83" w:name="_Toc152042316"/>
      <w:bookmarkEnd w:id="83"/>
      <w:bookmarkStart w:id="84" w:name="_Toc152045540"/>
      <w:bookmarkEnd w:id="84"/>
      <w:bookmarkStart w:id="85" w:name="_Toc325553560"/>
      <w:bookmarkEnd w:id="85"/>
      <w:bookmarkStart w:id="86" w:name="_Toc330304867"/>
      <w:bookmarkEnd w:id="86"/>
      <w:bookmarkStart w:id="87" w:name="_Toc144974508"/>
      <w:bookmarkEnd w:id="87"/>
      <w:bookmarkStart w:id="88" w:name="_Toc11391"/>
      <w:r>
        <w:rPr>
          <w:rFonts w:ascii="宋体" w:hAnsi="宋体" w:cs="宋体"/>
          <w:b/>
          <w:bCs/>
          <w:sz w:val="24"/>
          <w:szCs w:val="24"/>
        </w:rPr>
        <w:t xml:space="preserve">1.10 </w:t>
      </w:r>
      <w:r>
        <w:rPr>
          <w:rFonts w:hint="eastAsia" w:ascii="宋体" w:hAnsi="宋体" w:cs="宋体"/>
          <w:b/>
          <w:bCs/>
          <w:sz w:val="24"/>
          <w:szCs w:val="24"/>
        </w:rPr>
        <w:t>投标预备会</w:t>
      </w:r>
      <w:bookmarkEnd w:id="88"/>
    </w:p>
    <w:p w14:paraId="7105A0EA">
      <w:pPr>
        <w:spacing w:line="464" w:lineRule="exact"/>
        <w:ind w:firstLine="480" w:firstLineChars="200"/>
        <w:rPr>
          <w:rFonts w:ascii="宋体" w:cs="宋体"/>
          <w:sz w:val="24"/>
          <w:szCs w:val="24"/>
        </w:rPr>
      </w:pPr>
      <w:r>
        <w:rPr>
          <w:rFonts w:ascii="宋体" w:hAnsi="宋体" w:cs="宋体"/>
          <w:sz w:val="24"/>
          <w:szCs w:val="24"/>
        </w:rPr>
        <w:t xml:space="preserve">1.10.1 </w:t>
      </w:r>
      <w:r>
        <w:rPr>
          <w:rFonts w:hint="eastAsia" w:ascii="宋体" w:hAnsi="宋体" w:cs="宋体"/>
          <w:sz w:val="24"/>
          <w:szCs w:val="24"/>
        </w:rPr>
        <w:t>供应商须知前附表规定召开投标预备会的，采购人按供应商须知前附表规定的时间和地点召开投标预备会，澄清供应商提出的问题。</w:t>
      </w:r>
    </w:p>
    <w:p w14:paraId="7FFB284A">
      <w:pPr>
        <w:spacing w:line="464" w:lineRule="exact"/>
        <w:ind w:firstLine="480" w:firstLineChars="200"/>
        <w:rPr>
          <w:rFonts w:ascii="宋体" w:cs="宋体"/>
          <w:sz w:val="24"/>
          <w:szCs w:val="24"/>
        </w:rPr>
      </w:pPr>
      <w:r>
        <w:rPr>
          <w:rFonts w:ascii="宋体" w:hAnsi="宋体" w:cs="宋体"/>
          <w:sz w:val="24"/>
          <w:szCs w:val="24"/>
        </w:rPr>
        <w:t xml:space="preserve">1.10.2 </w:t>
      </w:r>
      <w:r>
        <w:rPr>
          <w:rFonts w:hint="eastAsia" w:ascii="宋体" w:hAnsi="宋体" w:cs="宋体"/>
          <w:sz w:val="24"/>
          <w:szCs w:val="24"/>
        </w:rPr>
        <w:t>供应商应在供应商须知前附表规定的时间前，以书面形式将提出的问题送达采购人，以便采购人在会议期间澄清。</w:t>
      </w:r>
    </w:p>
    <w:p w14:paraId="6145A5AD">
      <w:pPr>
        <w:spacing w:line="464" w:lineRule="exact"/>
        <w:ind w:firstLine="480" w:firstLineChars="200"/>
        <w:rPr>
          <w:rFonts w:hint="eastAsia" w:ascii="宋体" w:hAnsi="宋体" w:cs="宋体"/>
          <w:sz w:val="24"/>
          <w:szCs w:val="24"/>
        </w:rPr>
      </w:pPr>
      <w:r>
        <w:rPr>
          <w:rFonts w:ascii="宋体" w:hAnsi="宋体" w:cs="宋体"/>
          <w:sz w:val="24"/>
          <w:szCs w:val="24"/>
        </w:rPr>
        <w:t>1.10.3 在供应商须知前附表规定的时间内，采购人将对供应商所提问题的澄清，通过“新郑市公共资源交易中心”系统通知所有购买</w:t>
      </w:r>
      <w:r>
        <w:rPr>
          <w:rFonts w:hint="eastAsia" w:hAnsi="宋体" w:cs="宋体"/>
          <w:sz w:val="24"/>
          <w:szCs w:val="24"/>
        </w:rPr>
        <w:t>竞争性磋商文件</w:t>
      </w:r>
      <w:r>
        <w:rPr>
          <w:rFonts w:ascii="宋体" w:hAnsi="宋体" w:cs="宋体"/>
          <w:sz w:val="24"/>
          <w:szCs w:val="24"/>
        </w:rPr>
        <w:t>的供应商，该澄清通知为</w:t>
      </w:r>
      <w:r>
        <w:rPr>
          <w:rFonts w:hint="eastAsia" w:hAnsi="宋体" w:cs="宋体"/>
          <w:sz w:val="24"/>
          <w:szCs w:val="24"/>
        </w:rPr>
        <w:t>竞争性磋商文件</w:t>
      </w:r>
      <w:r>
        <w:rPr>
          <w:rFonts w:ascii="宋体" w:hAnsi="宋体" w:cs="宋体"/>
          <w:sz w:val="24"/>
          <w:szCs w:val="24"/>
        </w:rPr>
        <w:t>的组成部分</w:t>
      </w:r>
      <w:r>
        <w:rPr>
          <w:rFonts w:hint="eastAsia" w:ascii="宋体" w:hAnsi="宋体" w:cs="宋体"/>
          <w:sz w:val="24"/>
          <w:szCs w:val="24"/>
        </w:rPr>
        <w:t>。</w:t>
      </w:r>
    </w:p>
    <w:p w14:paraId="47F1D55C">
      <w:pPr>
        <w:spacing w:line="464" w:lineRule="exact"/>
        <w:rPr>
          <w:rFonts w:ascii="宋体" w:cs="宋体"/>
          <w:b/>
          <w:bCs/>
          <w:sz w:val="24"/>
          <w:szCs w:val="24"/>
        </w:rPr>
      </w:pPr>
      <w:bookmarkStart w:id="89" w:name="_Toc152042317"/>
      <w:bookmarkEnd w:id="89"/>
      <w:bookmarkStart w:id="90" w:name="_Toc330304868"/>
      <w:bookmarkEnd w:id="90"/>
      <w:bookmarkStart w:id="91" w:name="_Toc144974509"/>
      <w:bookmarkEnd w:id="91"/>
      <w:bookmarkStart w:id="92" w:name="_Toc152045541"/>
      <w:bookmarkEnd w:id="92"/>
      <w:bookmarkStart w:id="93" w:name="_Toc325553561"/>
      <w:bookmarkEnd w:id="93"/>
      <w:bookmarkStart w:id="94" w:name="_Toc16783"/>
      <w:r>
        <w:rPr>
          <w:rFonts w:ascii="宋体" w:hAnsi="宋体" w:cs="宋体"/>
          <w:b/>
          <w:bCs/>
          <w:sz w:val="24"/>
          <w:szCs w:val="24"/>
        </w:rPr>
        <w:t xml:space="preserve">1.11 </w:t>
      </w:r>
      <w:r>
        <w:rPr>
          <w:rFonts w:hint="eastAsia" w:ascii="宋体" w:hAnsi="宋体" w:cs="宋体"/>
          <w:b/>
          <w:bCs/>
          <w:sz w:val="24"/>
          <w:szCs w:val="24"/>
        </w:rPr>
        <w:t>分包</w:t>
      </w:r>
      <w:bookmarkEnd w:id="94"/>
    </w:p>
    <w:p w14:paraId="2392F966">
      <w:pPr>
        <w:spacing w:line="464" w:lineRule="exact"/>
        <w:ind w:firstLine="480" w:firstLineChars="200"/>
        <w:rPr>
          <w:rFonts w:hint="eastAsia" w:ascii="宋体" w:hAnsi="宋体" w:cs="宋体"/>
          <w:sz w:val="24"/>
          <w:szCs w:val="24"/>
        </w:rPr>
      </w:pPr>
      <w:bookmarkStart w:id="95" w:name="_Toc330304869"/>
      <w:bookmarkEnd w:id="95"/>
      <w:bookmarkStart w:id="96" w:name="_Toc325553562"/>
      <w:bookmarkEnd w:id="96"/>
      <w:bookmarkStart w:id="97" w:name="_Toc20201"/>
      <w:r>
        <w:rPr>
          <w:rFonts w:hint="eastAsia" w:ascii="宋体" w:hAnsi="宋体" w:cs="宋体"/>
          <w:sz w:val="24"/>
          <w:szCs w:val="24"/>
        </w:rPr>
        <w:t>不允许违法分包</w:t>
      </w:r>
    </w:p>
    <w:p w14:paraId="587682C3">
      <w:pPr>
        <w:spacing w:line="464" w:lineRule="exact"/>
        <w:rPr>
          <w:rFonts w:ascii="宋体" w:cs="宋体"/>
          <w:b/>
          <w:bCs/>
          <w:sz w:val="24"/>
          <w:szCs w:val="24"/>
        </w:rPr>
      </w:pPr>
      <w:r>
        <w:rPr>
          <w:rFonts w:ascii="宋体" w:hAnsi="宋体" w:cs="宋体"/>
          <w:b/>
          <w:bCs/>
          <w:sz w:val="24"/>
          <w:szCs w:val="24"/>
        </w:rPr>
        <w:t xml:space="preserve">1.12 </w:t>
      </w:r>
      <w:r>
        <w:rPr>
          <w:rFonts w:hint="eastAsia" w:ascii="宋体" w:hAnsi="宋体" w:cs="宋体"/>
          <w:b/>
          <w:bCs/>
          <w:sz w:val="24"/>
          <w:szCs w:val="24"/>
        </w:rPr>
        <w:t>偏离</w:t>
      </w:r>
      <w:bookmarkEnd w:id="97"/>
    </w:p>
    <w:p w14:paraId="55836255">
      <w:pPr>
        <w:spacing w:line="464" w:lineRule="exact"/>
        <w:ind w:firstLine="410" w:firstLineChars="171"/>
        <w:rPr>
          <w:rFonts w:ascii="宋体" w:cs="宋体"/>
          <w:sz w:val="24"/>
          <w:szCs w:val="24"/>
        </w:rPr>
      </w:pPr>
      <w:r>
        <w:rPr>
          <w:rFonts w:hint="eastAsia" w:ascii="宋体" w:hAnsi="宋体" w:cs="宋体"/>
          <w:sz w:val="24"/>
          <w:szCs w:val="24"/>
        </w:rPr>
        <w:t>供应商须知前附表允许响应文件偏离</w:t>
      </w:r>
      <w:r>
        <w:rPr>
          <w:rFonts w:hint="eastAsia" w:hAnsi="宋体" w:cs="宋体"/>
          <w:sz w:val="24"/>
          <w:szCs w:val="24"/>
        </w:rPr>
        <w:t>竞争性磋商文件</w:t>
      </w:r>
      <w:r>
        <w:rPr>
          <w:rFonts w:hint="eastAsia" w:ascii="宋体" w:hAnsi="宋体" w:cs="宋体"/>
          <w:sz w:val="24"/>
          <w:szCs w:val="24"/>
        </w:rPr>
        <w:t>某些要求的，偏离应当符合</w:t>
      </w:r>
      <w:r>
        <w:rPr>
          <w:rFonts w:hint="eastAsia" w:hAnsi="宋体" w:cs="宋体"/>
          <w:sz w:val="24"/>
          <w:szCs w:val="24"/>
        </w:rPr>
        <w:t>竞争性磋商文件</w:t>
      </w:r>
      <w:r>
        <w:rPr>
          <w:rFonts w:hint="eastAsia" w:ascii="宋体" w:hAnsi="宋体" w:cs="宋体"/>
          <w:sz w:val="24"/>
          <w:szCs w:val="24"/>
        </w:rPr>
        <w:t>规定的偏离范围和幅度。</w:t>
      </w:r>
    </w:p>
    <w:p w14:paraId="2C603B82">
      <w:pPr>
        <w:pStyle w:val="3"/>
        <w:spacing w:line="464" w:lineRule="exact"/>
        <w:rPr>
          <w:rFonts w:hint="eastAsia" w:ascii="宋体" w:hAnsi="宋体" w:eastAsia="宋体"/>
          <w:sz w:val="24"/>
          <w:szCs w:val="24"/>
        </w:rPr>
      </w:pPr>
      <w:bookmarkStart w:id="98" w:name="_Toc144974510"/>
      <w:bookmarkEnd w:id="98"/>
      <w:bookmarkStart w:id="99" w:name="_Toc152045542"/>
      <w:bookmarkEnd w:id="99"/>
      <w:bookmarkStart w:id="100" w:name="_Toc330304870"/>
      <w:bookmarkEnd w:id="100"/>
      <w:bookmarkStart w:id="101" w:name="_Toc152042318"/>
      <w:bookmarkEnd w:id="101"/>
      <w:bookmarkStart w:id="102" w:name="_Toc20689_WPSOffice_Level2"/>
      <w:bookmarkStart w:id="103" w:name="_Toc15929"/>
      <w:bookmarkStart w:id="104" w:name="_Toc17580"/>
      <w:bookmarkStart w:id="105" w:name="_Toc17156_WPSOffice_Level2"/>
      <w:bookmarkStart w:id="106" w:name="_Toc152656711"/>
      <w:r>
        <w:rPr>
          <w:rFonts w:ascii="宋体" w:hAnsi="宋体" w:eastAsia="宋体" w:cs="宋体"/>
          <w:sz w:val="24"/>
          <w:szCs w:val="24"/>
        </w:rPr>
        <w:t xml:space="preserve">2. </w:t>
      </w:r>
      <w:bookmarkEnd w:id="102"/>
      <w:bookmarkEnd w:id="103"/>
      <w:bookmarkEnd w:id="104"/>
      <w:bookmarkEnd w:id="105"/>
      <w:r>
        <w:rPr>
          <w:rFonts w:hint="eastAsia" w:ascii="宋体" w:hAnsi="宋体" w:eastAsia="宋体" w:cs="宋体"/>
          <w:sz w:val="24"/>
          <w:szCs w:val="24"/>
        </w:rPr>
        <w:t>竞争性磋商文件</w:t>
      </w:r>
      <w:bookmarkEnd w:id="106"/>
    </w:p>
    <w:p w14:paraId="02D7C1E6">
      <w:pPr>
        <w:spacing w:line="464" w:lineRule="exact"/>
        <w:rPr>
          <w:rFonts w:ascii="宋体" w:cs="宋体"/>
          <w:b/>
          <w:bCs/>
          <w:sz w:val="24"/>
          <w:szCs w:val="24"/>
        </w:rPr>
      </w:pPr>
      <w:bookmarkStart w:id="107" w:name="_Toc152045543"/>
      <w:bookmarkEnd w:id="107"/>
      <w:bookmarkStart w:id="108" w:name="_Toc144974511"/>
      <w:bookmarkEnd w:id="108"/>
      <w:bookmarkStart w:id="109" w:name="_Toc152042319"/>
      <w:bookmarkEnd w:id="109"/>
      <w:bookmarkStart w:id="110" w:name="_Toc325553564"/>
      <w:bookmarkEnd w:id="110"/>
      <w:bookmarkStart w:id="111" w:name="_Toc330304871"/>
      <w:bookmarkEnd w:id="111"/>
      <w:bookmarkStart w:id="112" w:name="_Toc16285"/>
      <w:r>
        <w:rPr>
          <w:rFonts w:ascii="宋体" w:hAnsi="宋体" w:cs="宋体"/>
          <w:b/>
          <w:bCs/>
          <w:sz w:val="24"/>
          <w:szCs w:val="24"/>
        </w:rPr>
        <w:t xml:space="preserve">2.1 </w:t>
      </w:r>
      <w:r>
        <w:rPr>
          <w:rFonts w:hint="eastAsia" w:ascii="宋体" w:hAnsi="宋体" w:cs="宋体"/>
          <w:b/>
          <w:bCs/>
          <w:sz w:val="24"/>
          <w:szCs w:val="24"/>
        </w:rPr>
        <w:t>竞争性磋商文件的组成</w:t>
      </w:r>
      <w:bookmarkEnd w:id="112"/>
    </w:p>
    <w:p w14:paraId="2A36359A">
      <w:pPr>
        <w:spacing w:line="464" w:lineRule="exact"/>
        <w:ind w:firstLine="480" w:firstLineChars="200"/>
        <w:rPr>
          <w:rFonts w:ascii="宋体" w:cs="宋体"/>
          <w:sz w:val="24"/>
          <w:szCs w:val="24"/>
        </w:rPr>
      </w:pPr>
      <w:r>
        <w:rPr>
          <w:rFonts w:hint="eastAsia" w:ascii="宋体" w:hAnsi="宋体" w:cs="宋体"/>
          <w:sz w:val="24"/>
          <w:szCs w:val="24"/>
        </w:rPr>
        <w:t>2.1.1本</w:t>
      </w:r>
      <w:r>
        <w:rPr>
          <w:rFonts w:hint="eastAsia" w:hAnsi="宋体" w:cs="宋体"/>
          <w:sz w:val="24"/>
          <w:szCs w:val="24"/>
        </w:rPr>
        <w:t>竞争性磋商文件</w:t>
      </w:r>
      <w:r>
        <w:rPr>
          <w:rFonts w:hint="eastAsia" w:ascii="宋体" w:hAnsi="宋体" w:cs="宋体"/>
          <w:sz w:val="24"/>
          <w:szCs w:val="24"/>
        </w:rPr>
        <w:t>包括：</w:t>
      </w:r>
    </w:p>
    <w:p w14:paraId="7CB30C64">
      <w:pPr>
        <w:spacing w:line="464" w:lineRule="exact"/>
        <w:ind w:firstLine="410" w:firstLineChars="17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）竞争性磋商公告</w:t>
      </w:r>
    </w:p>
    <w:p w14:paraId="7BEF590D">
      <w:pPr>
        <w:spacing w:line="464" w:lineRule="exact"/>
        <w:ind w:firstLine="410" w:firstLineChars="171"/>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）供应商须知</w:t>
      </w:r>
    </w:p>
    <w:p w14:paraId="28384A53">
      <w:pPr>
        <w:spacing w:line="464" w:lineRule="exact"/>
        <w:ind w:firstLine="410" w:firstLineChars="171"/>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）评标办法</w:t>
      </w:r>
    </w:p>
    <w:p w14:paraId="12881CB6">
      <w:pPr>
        <w:spacing w:line="464" w:lineRule="exact"/>
        <w:ind w:firstLine="410" w:firstLineChars="171"/>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）合同条款及格式</w:t>
      </w:r>
    </w:p>
    <w:p w14:paraId="0AC21B55">
      <w:pPr>
        <w:spacing w:line="464" w:lineRule="exact"/>
        <w:ind w:firstLine="410" w:firstLineChars="171"/>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）项目需求</w:t>
      </w:r>
    </w:p>
    <w:p w14:paraId="539F3B9B">
      <w:pPr>
        <w:spacing w:line="464" w:lineRule="exact"/>
        <w:ind w:firstLine="410" w:firstLineChars="171"/>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）响应文件格式</w:t>
      </w:r>
    </w:p>
    <w:p w14:paraId="1EBE9E33">
      <w:pPr>
        <w:spacing w:line="464" w:lineRule="exact"/>
        <w:ind w:firstLine="410" w:firstLineChars="171"/>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河南省政府采购合同融资政策告知函</w:t>
      </w:r>
    </w:p>
    <w:p w14:paraId="11C7CBCB">
      <w:pPr>
        <w:spacing w:line="464" w:lineRule="exact"/>
        <w:ind w:firstLine="480" w:firstLineChars="200"/>
        <w:rPr>
          <w:rFonts w:ascii="宋体" w:cs="宋体"/>
          <w:sz w:val="24"/>
          <w:szCs w:val="24"/>
        </w:rPr>
      </w:pPr>
      <w:r>
        <w:rPr>
          <w:rFonts w:hint="eastAsia" w:ascii="宋体" w:hAnsi="宋体" w:cs="宋体"/>
          <w:sz w:val="24"/>
          <w:szCs w:val="24"/>
        </w:rPr>
        <w:t>根据本项目招标情况对</w:t>
      </w:r>
      <w:r>
        <w:rPr>
          <w:rFonts w:hint="eastAsia" w:hAnsi="宋体" w:cs="宋体"/>
          <w:sz w:val="24"/>
          <w:szCs w:val="24"/>
        </w:rPr>
        <w:t>竞争性磋商文件</w:t>
      </w:r>
      <w:r>
        <w:rPr>
          <w:rFonts w:hint="eastAsia" w:ascii="宋体" w:hAnsi="宋体" w:cs="宋体"/>
          <w:sz w:val="24"/>
          <w:szCs w:val="24"/>
        </w:rPr>
        <w:t>所作的澄清、修改，构成</w:t>
      </w:r>
      <w:r>
        <w:rPr>
          <w:rFonts w:hint="eastAsia" w:hAnsi="宋体" w:cs="宋体"/>
          <w:sz w:val="24"/>
          <w:szCs w:val="24"/>
        </w:rPr>
        <w:t>竞争性磋商文件</w:t>
      </w:r>
      <w:r>
        <w:rPr>
          <w:rFonts w:hint="eastAsia" w:ascii="宋体" w:hAnsi="宋体" w:cs="宋体"/>
          <w:sz w:val="24"/>
          <w:szCs w:val="24"/>
        </w:rPr>
        <w:t>的组成部分。</w:t>
      </w:r>
      <w:r>
        <w:rPr>
          <w:rFonts w:ascii="宋体" w:hAnsi="宋体" w:cs="宋体"/>
          <w:sz w:val="24"/>
          <w:szCs w:val="24"/>
        </w:rPr>
        <w:t>供应商应认真阅读</w:t>
      </w:r>
      <w:r>
        <w:rPr>
          <w:rFonts w:hint="eastAsia" w:hAnsi="宋体" w:cs="宋体"/>
          <w:sz w:val="24"/>
          <w:szCs w:val="24"/>
        </w:rPr>
        <w:t>竞争性磋商文件</w:t>
      </w:r>
      <w:r>
        <w:rPr>
          <w:rFonts w:ascii="宋体" w:hAnsi="宋体" w:cs="宋体"/>
          <w:sz w:val="24"/>
          <w:szCs w:val="24"/>
        </w:rPr>
        <w:t>所有的事项、格式、条款等。如供应商没有按照</w:t>
      </w:r>
      <w:r>
        <w:rPr>
          <w:rFonts w:hint="eastAsia" w:hAnsi="宋体" w:cs="宋体"/>
          <w:sz w:val="24"/>
          <w:szCs w:val="24"/>
        </w:rPr>
        <w:t>竞争性磋商文件</w:t>
      </w:r>
      <w:r>
        <w:rPr>
          <w:rFonts w:ascii="宋体" w:hAnsi="宋体" w:cs="宋体"/>
          <w:sz w:val="24"/>
          <w:szCs w:val="24"/>
        </w:rPr>
        <w:t>要求提交资料，或者响应文件没有对</w:t>
      </w:r>
      <w:r>
        <w:rPr>
          <w:rFonts w:hint="eastAsia" w:hAnsi="宋体" w:cs="宋体"/>
          <w:sz w:val="24"/>
          <w:szCs w:val="24"/>
        </w:rPr>
        <w:t>竞争性磋商文件</w:t>
      </w:r>
      <w:r>
        <w:rPr>
          <w:rFonts w:ascii="宋体" w:hAnsi="宋体" w:cs="宋体"/>
          <w:sz w:val="24"/>
          <w:szCs w:val="24"/>
        </w:rPr>
        <w:t>做出实质性响应，可能导致其投标被认定为投标无效。</w:t>
      </w:r>
    </w:p>
    <w:p w14:paraId="38E1E63D">
      <w:pPr>
        <w:spacing w:line="464" w:lineRule="exact"/>
        <w:rPr>
          <w:rFonts w:ascii="宋体" w:cs="宋体"/>
          <w:b/>
          <w:bCs/>
          <w:sz w:val="24"/>
          <w:szCs w:val="24"/>
        </w:rPr>
      </w:pPr>
      <w:bookmarkStart w:id="113" w:name="_Toc325553565"/>
      <w:bookmarkEnd w:id="113"/>
      <w:bookmarkStart w:id="114" w:name="_Toc152045544"/>
      <w:bookmarkEnd w:id="114"/>
      <w:bookmarkStart w:id="115" w:name="_Toc152042320"/>
      <w:bookmarkEnd w:id="115"/>
      <w:bookmarkStart w:id="116" w:name="_Toc330304872"/>
      <w:bookmarkEnd w:id="116"/>
      <w:bookmarkStart w:id="117" w:name="_Toc144974512"/>
      <w:bookmarkEnd w:id="117"/>
      <w:bookmarkStart w:id="118" w:name="_Toc22794"/>
      <w:r>
        <w:rPr>
          <w:rFonts w:ascii="宋体" w:hAnsi="宋体" w:cs="宋体"/>
          <w:b/>
          <w:bCs/>
          <w:sz w:val="24"/>
          <w:szCs w:val="24"/>
        </w:rPr>
        <w:t xml:space="preserve">2.2 </w:t>
      </w:r>
      <w:r>
        <w:rPr>
          <w:rFonts w:hint="eastAsia" w:ascii="宋体" w:hAnsi="宋体" w:cs="宋体"/>
          <w:b/>
          <w:bCs/>
          <w:sz w:val="24"/>
          <w:szCs w:val="24"/>
        </w:rPr>
        <w:t>竞争性磋商文件的澄清</w:t>
      </w:r>
      <w:bookmarkEnd w:id="118"/>
    </w:p>
    <w:p w14:paraId="4D4A948A">
      <w:pPr>
        <w:spacing w:line="464" w:lineRule="exact"/>
        <w:ind w:firstLine="480" w:firstLineChars="200"/>
        <w:rPr>
          <w:rFonts w:ascii="宋体" w:cs="宋体"/>
          <w:sz w:val="24"/>
          <w:szCs w:val="24"/>
        </w:rPr>
      </w:pPr>
      <w:bookmarkStart w:id="119" w:name="_Toc330304873"/>
      <w:bookmarkEnd w:id="119"/>
      <w:bookmarkStart w:id="120" w:name="_Toc325553566"/>
      <w:bookmarkEnd w:id="120"/>
      <w:bookmarkStart w:id="121" w:name="_Toc144974513"/>
      <w:bookmarkEnd w:id="121"/>
      <w:bookmarkStart w:id="122" w:name="_Toc152045545"/>
      <w:bookmarkEnd w:id="122"/>
      <w:bookmarkStart w:id="123" w:name="_Toc152042321"/>
      <w:bookmarkEnd w:id="123"/>
      <w:bookmarkStart w:id="124" w:name="_Toc20789"/>
      <w:r>
        <w:rPr>
          <w:rFonts w:ascii="宋体" w:hAnsi="宋体" w:cs="宋体"/>
          <w:sz w:val="24"/>
          <w:szCs w:val="24"/>
        </w:rPr>
        <w:t xml:space="preserve">2.2.1 </w:t>
      </w:r>
      <w:r>
        <w:rPr>
          <w:rFonts w:hint="eastAsia" w:ascii="宋体" w:hAnsi="宋体" w:cs="宋体"/>
          <w:sz w:val="24"/>
          <w:szCs w:val="24"/>
        </w:rPr>
        <w:t>供应商应仔细阅读和检查</w:t>
      </w:r>
      <w:r>
        <w:rPr>
          <w:rFonts w:hint="eastAsia" w:hAnsi="宋体" w:cs="宋体"/>
          <w:sz w:val="24"/>
          <w:szCs w:val="24"/>
        </w:rPr>
        <w:t>竞争性磋商文件</w:t>
      </w:r>
      <w:r>
        <w:rPr>
          <w:rFonts w:hint="eastAsia" w:ascii="宋体" w:hAnsi="宋体" w:cs="宋体"/>
          <w:sz w:val="24"/>
          <w:szCs w:val="24"/>
        </w:rPr>
        <w:t>的全部内容。如发现缺页或附件不全，应及时向采购人提出，以便补齐。如有疑问，应在投标截止时间前5日以书面形式提出申请，要求采购人对</w:t>
      </w:r>
      <w:r>
        <w:rPr>
          <w:rFonts w:hint="eastAsia" w:hAnsi="宋体" w:cs="宋体"/>
          <w:sz w:val="24"/>
          <w:szCs w:val="24"/>
        </w:rPr>
        <w:t>竞争性磋商文件</w:t>
      </w:r>
      <w:r>
        <w:rPr>
          <w:rFonts w:hint="eastAsia" w:ascii="宋体" w:hAnsi="宋体" w:cs="宋体"/>
          <w:sz w:val="24"/>
          <w:szCs w:val="24"/>
        </w:rPr>
        <w:t>予以澄清。如未提出异议，视为全面接受</w:t>
      </w:r>
      <w:r>
        <w:rPr>
          <w:rFonts w:hint="eastAsia" w:hAnsi="宋体" w:cs="宋体"/>
          <w:sz w:val="24"/>
          <w:szCs w:val="24"/>
        </w:rPr>
        <w:t>竞争性磋商文件</w:t>
      </w:r>
      <w:r>
        <w:rPr>
          <w:rFonts w:hint="eastAsia" w:ascii="宋体" w:hAnsi="宋体" w:cs="宋体"/>
          <w:sz w:val="24"/>
          <w:szCs w:val="24"/>
        </w:rPr>
        <w:t>的实质性条款。</w:t>
      </w:r>
    </w:p>
    <w:p w14:paraId="41315EEE">
      <w:pPr>
        <w:spacing w:line="464" w:lineRule="exact"/>
        <w:ind w:firstLine="480" w:firstLineChars="200"/>
        <w:rPr>
          <w:rFonts w:ascii="宋体" w:cs="宋体"/>
          <w:sz w:val="24"/>
          <w:szCs w:val="24"/>
        </w:rPr>
      </w:pPr>
      <w:r>
        <w:rPr>
          <w:rFonts w:ascii="宋体" w:hAnsi="宋体" w:cs="宋体"/>
          <w:sz w:val="24"/>
          <w:szCs w:val="24"/>
        </w:rPr>
        <w:t>2.2.2</w:t>
      </w:r>
      <w:r>
        <w:rPr>
          <w:rFonts w:hint="eastAsia" w:hAnsi="宋体" w:cs="宋体"/>
          <w:sz w:val="24"/>
          <w:szCs w:val="24"/>
        </w:rPr>
        <w:t>竞争性磋商文件</w:t>
      </w:r>
      <w:r>
        <w:rPr>
          <w:rFonts w:hint="eastAsia" w:ascii="宋体" w:hAnsi="宋体" w:cs="宋体"/>
          <w:sz w:val="24"/>
          <w:szCs w:val="24"/>
        </w:rPr>
        <w:t>的澄清将在供应商须知前附表规定的投标截止时间3天前通过“新郑市公共资源交易中心”系统发出，但不指明澄清问题的来源。如果澄清发出的时间距投标截止时间不足3天，</w:t>
      </w:r>
      <w:r>
        <w:rPr>
          <w:rFonts w:ascii="宋体" w:hAnsi="宋体" w:cs="宋体"/>
          <w:sz w:val="24"/>
          <w:szCs w:val="24"/>
        </w:rPr>
        <w:t>相应延长响应文件递交截止时间</w:t>
      </w:r>
      <w:r>
        <w:rPr>
          <w:rFonts w:hint="eastAsia" w:ascii="宋体" w:hAnsi="宋体" w:cs="宋体"/>
          <w:sz w:val="24"/>
          <w:szCs w:val="24"/>
        </w:rPr>
        <w:t>。</w:t>
      </w:r>
    </w:p>
    <w:p w14:paraId="1E13A069">
      <w:pPr>
        <w:spacing w:line="464" w:lineRule="exact"/>
        <w:ind w:firstLine="480" w:firstLineChars="200"/>
        <w:rPr>
          <w:rFonts w:ascii="宋体" w:cs="宋体"/>
          <w:sz w:val="24"/>
          <w:szCs w:val="24"/>
        </w:rPr>
      </w:pPr>
      <w:r>
        <w:rPr>
          <w:rFonts w:ascii="宋体" w:hAnsi="宋体" w:cs="宋体"/>
          <w:sz w:val="24"/>
          <w:szCs w:val="24"/>
        </w:rPr>
        <w:t>2.2.3</w:t>
      </w:r>
      <w:r>
        <w:rPr>
          <w:rFonts w:hint="eastAsia" w:ascii="宋体" w:hAnsi="宋体" w:cs="宋体"/>
          <w:sz w:val="24"/>
          <w:szCs w:val="24"/>
        </w:rPr>
        <w:t>采购人澄清发出的同时，“新郑市公共资源交易中心”会员系统会提示供应商查看，供应商应注意及时浏览网上发出的澄清，因供应商自身原因未及时获取澄清内容而导致的任何后果将由供应商自行承担。</w:t>
      </w:r>
    </w:p>
    <w:p w14:paraId="71FDAEB6">
      <w:pPr>
        <w:spacing w:line="464" w:lineRule="exact"/>
        <w:ind w:firstLine="480" w:firstLineChars="200"/>
        <w:rPr>
          <w:rFonts w:ascii="宋体" w:cs="宋体"/>
          <w:sz w:val="24"/>
          <w:szCs w:val="24"/>
        </w:rPr>
      </w:pPr>
      <w:r>
        <w:rPr>
          <w:rFonts w:ascii="宋体" w:hAnsi="宋体" w:cs="宋体"/>
          <w:sz w:val="24"/>
          <w:szCs w:val="24"/>
        </w:rPr>
        <w:t>2.2.4</w:t>
      </w:r>
      <w:r>
        <w:rPr>
          <w:rFonts w:hint="eastAsia" w:ascii="宋体" w:hAnsi="宋体" w:cs="宋体"/>
          <w:sz w:val="24"/>
          <w:szCs w:val="24"/>
        </w:rPr>
        <w:t>除非采购人认为的确有必要答复，否则，采购人有权拒绝回复供应商在供应商须知前附表规定的时间后的任何澄清要求。</w:t>
      </w:r>
    </w:p>
    <w:p w14:paraId="2C2482C4">
      <w:pPr>
        <w:spacing w:line="464" w:lineRule="exact"/>
        <w:rPr>
          <w:rFonts w:ascii="宋体" w:cs="宋体"/>
          <w:b/>
          <w:bCs/>
          <w:sz w:val="24"/>
          <w:szCs w:val="24"/>
        </w:rPr>
      </w:pPr>
      <w:r>
        <w:rPr>
          <w:rFonts w:ascii="宋体" w:hAnsi="宋体" w:cs="宋体"/>
          <w:b/>
          <w:bCs/>
          <w:sz w:val="24"/>
          <w:szCs w:val="24"/>
        </w:rPr>
        <w:t xml:space="preserve">2.3 </w:t>
      </w:r>
      <w:r>
        <w:rPr>
          <w:rFonts w:hint="eastAsia" w:ascii="宋体" w:hAnsi="宋体" w:cs="宋体"/>
          <w:b/>
          <w:bCs/>
          <w:sz w:val="24"/>
          <w:szCs w:val="24"/>
        </w:rPr>
        <w:t>竞争性磋商文件的修改</w:t>
      </w:r>
      <w:bookmarkEnd w:id="124"/>
    </w:p>
    <w:p w14:paraId="0FB95C6B">
      <w:pPr>
        <w:spacing w:line="464" w:lineRule="exact"/>
        <w:ind w:firstLine="480" w:firstLineChars="200"/>
        <w:rPr>
          <w:rFonts w:hint="eastAsia" w:ascii="宋体" w:hAnsi="宋体" w:cs="宋体"/>
          <w:sz w:val="24"/>
          <w:szCs w:val="24"/>
        </w:rPr>
      </w:pPr>
      <w:r>
        <w:rPr>
          <w:rFonts w:ascii="宋体" w:hAnsi="宋体" w:cs="宋体"/>
          <w:sz w:val="24"/>
          <w:szCs w:val="24"/>
        </w:rPr>
        <w:t>2.3.1 采购人以供应商须知前附表规定的形式修改</w:t>
      </w:r>
      <w:r>
        <w:rPr>
          <w:rFonts w:hint="eastAsia" w:hAnsi="宋体" w:cs="宋体"/>
          <w:sz w:val="24"/>
          <w:szCs w:val="24"/>
        </w:rPr>
        <w:t>竞争性磋商文件</w:t>
      </w:r>
      <w:r>
        <w:rPr>
          <w:rFonts w:ascii="宋体" w:hAnsi="宋体" w:cs="宋体"/>
          <w:sz w:val="24"/>
          <w:szCs w:val="24"/>
        </w:rPr>
        <w:t>，并通知所有参与</w:t>
      </w:r>
      <w:r>
        <w:rPr>
          <w:rFonts w:hint="eastAsia" w:ascii="宋体" w:hAnsi="宋体" w:cs="宋体"/>
          <w:sz w:val="24"/>
          <w:szCs w:val="24"/>
        </w:rPr>
        <w:t>磋商</w:t>
      </w:r>
      <w:r>
        <w:rPr>
          <w:rFonts w:ascii="宋体" w:hAnsi="宋体" w:cs="宋体"/>
          <w:sz w:val="24"/>
          <w:szCs w:val="24"/>
        </w:rPr>
        <w:t>的供应商。修改</w:t>
      </w:r>
      <w:r>
        <w:rPr>
          <w:rFonts w:hint="eastAsia" w:hAnsi="宋体" w:cs="宋体"/>
          <w:sz w:val="24"/>
          <w:szCs w:val="24"/>
        </w:rPr>
        <w:t>竞争性磋商文件</w:t>
      </w:r>
      <w:r>
        <w:rPr>
          <w:rFonts w:ascii="宋体" w:hAnsi="宋体" w:cs="宋体"/>
          <w:sz w:val="24"/>
          <w:szCs w:val="24"/>
        </w:rPr>
        <w:t xml:space="preserve">的时间距供应商须知前附表规定的投标截止时间不足 </w:t>
      </w:r>
      <w:r>
        <w:rPr>
          <w:rFonts w:hint="eastAsia" w:ascii="宋体" w:hAnsi="宋体" w:cs="宋体"/>
          <w:sz w:val="24"/>
          <w:szCs w:val="24"/>
        </w:rPr>
        <w:t>3</w:t>
      </w:r>
      <w:r>
        <w:rPr>
          <w:rFonts w:ascii="宋体" w:hAnsi="宋体" w:cs="宋体"/>
          <w:sz w:val="24"/>
          <w:szCs w:val="24"/>
        </w:rPr>
        <w:t xml:space="preserve"> 日的，并且修改内容可能影响</w:t>
      </w:r>
      <w:r>
        <w:rPr>
          <w:rFonts w:hint="eastAsia" w:ascii="宋体" w:hAnsi="宋体" w:cs="宋体"/>
          <w:sz w:val="24"/>
          <w:szCs w:val="24"/>
        </w:rPr>
        <w:t>响应</w:t>
      </w:r>
      <w:r>
        <w:rPr>
          <w:rFonts w:ascii="宋体" w:hAnsi="宋体" w:cs="宋体"/>
          <w:sz w:val="24"/>
          <w:szCs w:val="24"/>
        </w:rPr>
        <w:t xml:space="preserve">文件编制的，相应延长响应文件递交截止时间。 </w:t>
      </w:r>
    </w:p>
    <w:p w14:paraId="551B25B9">
      <w:pPr>
        <w:spacing w:line="464" w:lineRule="exact"/>
        <w:ind w:firstLine="480" w:firstLineChars="200"/>
        <w:rPr>
          <w:rFonts w:ascii="宋体" w:cs="宋体"/>
          <w:sz w:val="24"/>
          <w:szCs w:val="24"/>
        </w:rPr>
      </w:pPr>
      <w:r>
        <w:rPr>
          <w:rFonts w:hint="eastAsia" w:ascii="宋体" w:hAnsi="宋体" w:cs="宋体"/>
          <w:sz w:val="24"/>
          <w:szCs w:val="24"/>
        </w:rPr>
        <w:t>2.3.2在磋商截止时间3</w:t>
      </w:r>
      <w:r>
        <w:rPr>
          <w:rFonts w:ascii="宋体" w:hAnsi="宋体" w:cs="宋体"/>
          <w:sz w:val="24"/>
          <w:szCs w:val="24"/>
        </w:rPr>
        <w:t xml:space="preserve"> </w:t>
      </w:r>
      <w:r>
        <w:rPr>
          <w:rFonts w:hint="eastAsia" w:ascii="宋体" w:hAnsi="宋体" w:cs="宋体"/>
          <w:sz w:val="24"/>
          <w:szCs w:val="24"/>
        </w:rPr>
        <w:t>天前，采购人可以修改</w:t>
      </w:r>
      <w:r>
        <w:rPr>
          <w:rFonts w:hint="eastAsia" w:hAnsi="宋体" w:cs="宋体"/>
          <w:sz w:val="24"/>
          <w:szCs w:val="24"/>
        </w:rPr>
        <w:t>竞争性磋商文件</w:t>
      </w:r>
      <w:r>
        <w:rPr>
          <w:rFonts w:hint="eastAsia" w:ascii="宋体" w:hAnsi="宋体" w:cs="宋体"/>
          <w:sz w:val="24"/>
          <w:szCs w:val="24"/>
        </w:rPr>
        <w:t>，并通过“新郑市公共资源交易中心”系统发出</w:t>
      </w:r>
      <w:r>
        <w:rPr>
          <w:rFonts w:hint="eastAsia" w:hAnsi="宋体" w:cs="宋体"/>
          <w:sz w:val="24"/>
          <w:szCs w:val="24"/>
        </w:rPr>
        <w:t>竞争性磋商文件</w:t>
      </w:r>
      <w:r>
        <w:rPr>
          <w:rFonts w:hint="eastAsia" w:ascii="宋体" w:hAnsi="宋体" w:cs="宋体"/>
          <w:sz w:val="24"/>
          <w:szCs w:val="24"/>
        </w:rPr>
        <w:t>的修改。如果修改</w:t>
      </w:r>
      <w:r>
        <w:rPr>
          <w:rFonts w:hint="eastAsia" w:hAnsi="宋体" w:cs="宋体"/>
          <w:sz w:val="24"/>
          <w:szCs w:val="24"/>
        </w:rPr>
        <w:t>竞争性磋商文件</w:t>
      </w:r>
      <w:r>
        <w:rPr>
          <w:rFonts w:hint="eastAsia" w:ascii="宋体" w:hAnsi="宋体" w:cs="宋体"/>
          <w:sz w:val="24"/>
          <w:szCs w:val="24"/>
        </w:rPr>
        <w:t>的时间距投标截止时间不足</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天，</w:t>
      </w:r>
      <w:r>
        <w:rPr>
          <w:rFonts w:ascii="宋体" w:hAnsi="宋体" w:cs="宋体"/>
          <w:sz w:val="24"/>
          <w:szCs w:val="24"/>
        </w:rPr>
        <w:t>相应延长响应文件递交截止时间</w:t>
      </w:r>
      <w:r>
        <w:rPr>
          <w:rFonts w:hint="eastAsia" w:ascii="宋体" w:hAnsi="宋体" w:cs="宋体"/>
          <w:sz w:val="24"/>
          <w:szCs w:val="24"/>
        </w:rPr>
        <w:t>。</w:t>
      </w:r>
    </w:p>
    <w:p w14:paraId="0D831489">
      <w:pPr>
        <w:spacing w:line="464" w:lineRule="exact"/>
        <w:ind w:firstLine="480" w:firstLineChars="200"/>
        <w:rPr>
          <w:rFonts w:hint="eastAsia" w:ascii="宋体" w:hAnsi="宋体" w:cs="宋体"/>
          <w:sz w:val="24"/>
          <w:szCs w:val="24"/>
        </w:rPr>
      </w:pPr>
      <w:r>
        <w:rPr>
          <w:rFonts w:ascii="宋体" w:hAnsi="宋体" w:cs="宋体"/>
          <w:sz w:val="24"/>
          <w:szCs w:val="24"/>
        </w:rPr>
        <w:t>2.3.</w:t>
      </w:r>
      <w:r>
        <w:rPr>
          <w:rFonts w:hint="eastAsia" w:ascii="宋体" w:hAnsi="宋体" w:cs="宋体"/>
          <w:sz w:val="24"/>
          <w:szCs w:val="24"/>
        </w:rPr>
        <w:t>3采购人修改发出的同时，“新郑市公共资源交易中心”会员系统会提示供应商查看，供应商应注意及时浏览网上发出的修改，因供应商自身原因未及时获取修改内容而导致的任何后果将由供应商自行承担。</w:t>
      </w:r>
    </w:p>
    <w:p w14:paraId="78B77594">
      <w:pPr>
        <w:spacing w:line="464" w:lineRule="exact"/>
        <w:rPr>
          <w:rFonts w:hint="eastAsia" w:ascii="宋体" w:hAnsi="宋体" w:cs="宋体"/>
          <w:b/>
          <w:bCs/>
          <w:sz w:val="24"/>
          <w:szCs w:val="24"/>
        </w:rPr>
      </w:pPr>
      <w:r>
        <w:rPr>
          <w:rFonts w:hint="eastAsia" w:ascii="宋体" w:hAnsi="宋体" w:cs="宋体"/>
          <w:b/>
          <w:bCs/>
          <w:sz w:val="24"/>
          <w:szCs w:val="24"/>
        </w:rPr>
        <w:t xml:space="preserve">2.4. 竞争性磋商文件的异议 </w:t>
      </w:r>
    </w:p>
    <w:p w14:paraId="3126963E">
      <w:pPr>
        <w:spacing w:line="464"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4</w:t>
      </w:r>
      <w:r>
        <w:rPr>
          <w:rFonts w:ascii="宋体" w:hAnsi="宋体" w:cs="宋体"/>
          <w:sz w:val="24"/>
          <w:szCs w:val="24"/>
        </w:rPr>
        <w:t>.1 供应商或者其他利害关系人对</w:t>
      </w:r>
      <w:r>
        <w:rPr>
          <w:rFonts w:hint="eastAsia" w:hAnsi="宋体" w:cs="宋体"/>
          <w:sz w:val="24"/>
          <w:szCs w:val="24"/>
        </w:rPr>
        <w:t>竞争性磋商文件</w:t>
      </w:r>
      <w:r>
        <w:rPr>
          <w:rFonts w:ascii="宋体" w:hAnsi="宋体" w:cs="宋体"/>
          <w:sz w:val="24"/>
          <w:szCs w:val="24"/>
        </w:rPr>
        <w:t>有异议的，应当在投标截止时间</w:t>
      </w:r>
      <w:r>
        <w:rPr>
          <w:rFonts w:hint="eastAsia" w:ascii="宋体" w:hAnsi="宋体" w:cs="宋体"/>
          <w:sz w:val="24"/>
          <w:szCs w:val="24"/>
        </w:rPr>
        <w:t>5日</w:t>
      </w:r>
      <w:r>
        <w:rPr>
          <w:rFonts w:ascii="宋体" w:hAnsi="宋体" w:cs="宋体"/>
          <w:sz w:val="24"/>
          <w:szCs w:val="24"/>
        </w:rPr>
        <w:t xml:space="preserve">前以书面形式提出。采购人将在收到异议之日起 3 日内做出答复。 </w:t>
      </w:r>
    </w:p>
    <w:p w14:paraId="305E9C85">
      <w:pPr>
        <w:spacing w:line="464"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2</w:t>
      </w:r>
      <w:r>
        <w:rPr>
          <w:rFonts w:ascii="宋体" w:hAnsi="宋体" w:cs="宋体"/>
          <w:sz w:val="24"/>
          <w:szCs w:val="24"/>
        </w:rPr>
        <w:t xml:space="preserve"> 供应商应认真阅读、并充分理解</w:t>
      </w:r>
      <w:r>
        <w:rPr>
          <w:rFonts w:hint="eastAsia" w:hAnsi="宋体" w:cs="宋体"/>
          <w:sz w:val="24"/>
          <w:szCs w:val="24"/>
        </w:rPr>
        <w:t>竞争性磋商文件</w:t>
      </w:r>
      <w:r>
        <w:rPr>
          <w:rFonts w:ascii="宋体" w:hAnsi="宋体" w:cs="宋体"/>
          <w:sz w:val="24"/>
          <w:szCs w:val="24"/>
        </w:rPr>
        <w:t>的全部内容（包括所有的补充、修改内容、重要事项、格式、条款和技术规范、参数及要求等），按</w:t>
      </w:r>
      <w:r>
        <w:rPr>
          <w:rFonts w:hint="eastAsia" w:hAnsi="宋体" w:cs="宋体"/>
          <w:sz w:val="24"/>
          <w:szCs w:val="24"/>
        </w:rPr>
        <w:t>竞争性磋商文件</w:t>
      </w:r>
      <w:r>
        <w:rPr>
          <w:rFonts w:ascii="宋体" w:hAnsi="宋体" w:cs="宋体"/>
          <w:sz w:val="24"/>
          <w:szCs w:val="24"/>
        </w:rPr>
        <w:t>要求和规定编制</w:t>
      </w:r>
      <w:r>
        <w:rPr>
          <w:rFonts w:hint="eastAsia" w:ascii="宋体" w:hAnsi="宋体" w:cs="宋体"/>
          <w:sz w:val="24"/>
          <w:szCs w:val="24"/>
        </w:rPr>
        <w:t>响应</w:t>
      </w:r>
      <w:r>
        <w:rPr>
          <w:rFonts w:ascii="宋体" w:hAnsi="宋体" w:cs="宋体"/>
          <w:sz w:val="24"/>
          <w:szCs w:val="24"/>
        </w:rPr>
        <w:t xml:space="preserve">文件， 并保证所提供的全部资料的真实性，否则有可能导致投标被拒绝，其风险由供应商自行承担。 </w:t>
      </w:r>
    </w:p>
    <w:p w14:paraId="38A7658C">
      <w:pPr>
        <w:spacing w:line="464"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3</w:t>
      </w:r>
      <w:r>
        <w:rPr>
          <w:rFonts w:ascii="宋体" w:hAnsi="宋体" w:cs="宋体"/>
          <w:sz w:val="24"/>
          <w:szCs w:val="24"/>
        </w:rPr>
        <w:t xml:space="preserve"> 供应商应认真了解本次招标的具体工作要求、工作范围以及职责，了解一切可能影响</w:t>
      </w:r>
      <w:r>
        <w:rPr>
          <w:rFonts w:hint="eastAsia" w:ascii="宋体" w:hAnsi="宋体" w:cs="宋体"/>
          <w:sz w:val="24"/>
          <w:szCs w:val="24"/>
        </w:rPr>
        <w:t>磋商</w:t>
      </w:r>
      <w:r>
        <w:rPr>
          <w:rFonts w:ascii="宋体" w:hAnsi="宋体" w:cs="宋体"/>
          <w:sz w:val="24"/>
          <w:szCs w:val="24"/>
        </w:rPr>
        <w:t>报价的资料。一经</w:t>
      </w:r>
      <w:r>
        <w:rPr>
          <w:rFonts w:hint="eastAsia" w:ascii="宋体" w:hAnsi="宋体" w:cs="宋体"/>
          <w:sz w:val="24"/>
          <w:szCs w:val="24"/>
        </w:rPr>
        <w:t>成交</w:t>
      </w:r>
      <w:r>
        <w:rPr>
          <w:rFonts w:ascii="宋体" w:hAnsi="宋体" w:cs="宋体"/>
          <w:sz w:val="24"/>
          <w:szCs w:val="24"/>
        </w:rPr>
        <w:t>，不得以不完全了解项目要求、项目情况等为借口而提出额外补偿等要求，否则，由此引起的一切后果由</w:t>
      </w:r>
      <w:r>
        <w:rPr>
          <w:rFonts w:hint="eastAsia" w:ascii="宋体" w:hAnsi="宋体" w:cs="宋体"/>
          <w:sz w:val="24"/>
          <w:szCs w:val="24"/>
        </w:rPr>
        <w:t>成交</w:t>
      </w:r>
      <w:r>
        <w:rPr>
          <w:rFonts w:ascii="宋体" w:hAnsi="宋体" w:cs="宋体"/>
          <w:sz w:val="24"/>
          <w:szCs w:val="24"/>
        </w:rPr>
        <w:t xml:space="preserve">供应商负责。 </w:t>
      </w:r>
    </w:p>
    <w:p w14:paraId="08EF6D6D">
      <w:pPr>
        <w:pStyle w:val="3"/>
        <w:spacing w:line="464" w:lineRule="exact"/>
        <w:rPr>
          <w:rFonts w:hint="eastAsia" w:ascii="宋体" w:hAnsi="宋体" w:eastAsia="宋体"/>
          <w:sz w:val="24"/>
          <w:szCs w:val="24"/>
        </w:rPr>
      </w:pPr>
      <w:bookmarkStart w:id="125" w:name="_Toc152045546"/>
      <w:bookmarkEnd w:id="125"/>
      <w:bookmarkStart w:id="126" w:name="_Toc152042322"/>
      <w:bookmarkEnd w:id="126"/>
      <w:bookmarkStart w:id="127" w:name="_Toc330304874"/>
      <w:bookmarkEnd w:id="127"/>
      <w:bookmarkStart w:id="128" w:name="_Toc144974514"/>
      <w:bookmarkEnd w:id="128"/>
      <w:bookmarkStart w:id="129" w:name="_Toc13530"/>
      <w:bookmarkStart w:id="130" w:name="_Toc152656712"/>
      <w:bookmarkStart w:id="131" w:name="_Toc12748"/>
      <w:bookmarkStart w:id="132" w:name="_Toc4460_WPSOffice_Level2"/>
      <w:bookmarkStart w:id="133" w:name="_Toc26764_WPSOffice_Level2"/>
      <w:r>
        <w:rPr>
          <w:rFonts w:ascii="宋体" w:hAnsi="宋体" w:eastAsia="宋体" w:cs="宋体"/>
          <w:sz w:val="24"/>
          <w:szCs w:val="24"/>
        </w:rPr>
        <w:t xml:space="preserve">3. </w:t>
      </w:r>
      <w:r>
        <w:rPr>
          <w:rFonts w:hint="eastAsia" w:ascii="宋体" w:hAnsi="宋体" w:eastAsia="宋体" w:cs="宋体"/>
          <w:sz w:val="24"/>
          <w:szCs w:val="24"/>
        </w:rPr>
        <w:t>响应文件</w:t>
      </w:r>
      <w:bookmarkEnd w:id="129"/>
      <w:bookmarkEnd w:id="130"/>
      <w:bookmarkEnd w:id="131"/>
      <w:bookmarkEnd w:id="132"/>
      <w:bookmarkEnd w:id="133"/>
    </w:p>
    <w:p w14:paraId="64459F99">
      <w:pPr>
        <w:spacing w:line="464" w:lineRule="exact"/>
        <w:rPr>
          <w:rFonts w:ascii="宋体" w:cs="宋体"/>
          <w:b/>
          <w:bCs/>
          <w:sz w:val="24"/>
          <w:szCs w:val="24"/>
        </w:rPr>
      </w:pPr>
      <w:bookmarkStart w:id="134" w:name="_Toc152042323"/>
      <w:bookmarkEnd w:id="134"/>
      <w:bookmarkStart w:id="135" w:name="_Toc144974515"/>
      <w:bookmarkEnd w:id="135"/>
      <w:bookmarkStart w:id="136" w:name="_Toc330304875"/>
      <w:bookmarkEnd w:id="136"/>
      <w:bookmarkStart w:id="137" w:name="_Toc152045547"/>
      <w:bookmarkEnd w:id="137"/>
      <w:bookmarkStart w:id="138" w:name="_Toc325553568"/>
      <w:bookmarkEnd w:id="138"/>
      <w:bookmarkStart w:id="139" w:name="_Toc12656"/>
      <w:r>
        <w:rPr>
          <w:rFonts w:ascii="宋体" w:hAnsi="宋体" w:cs="宋体"/>
          <w:b/>
          <w:bCs/>
          <w:sz w:val="24"/>
          <w:szCs w:val="24"/>
        </w:rPr>
        <w:t xml:space="preserve">3.1 </w:t>
      </w:r>
      <w:r>
        <w:rPr>
          <w:rFonts w:hint="eastAsia" w:ascii="宋体" w:hAnsi="宋体" w:cs="宋体"/>
          <w:b/>
          <w:bCs/>
          <w:sz w:val="24"/>
          <w:szCs w:val="24"/>
        </w:rPr>
        <w:t>响应文件的组成</w:t>
      </w:r>
      <w:bookmarkEnd w:id="139"/>
    </w:p>
    <w:p w14:paraId="5E08A8D7">
      <w:pPr>
        <w:spacing w:line="464" w:lineRule="exact"/>
        <w:ind w:firstLine="420"/>
        <w:rPr>
          <w:rFonts w:ascii="宋体"/>
          <w:sz w:val="24"/>
          <w:szCs w:val="24"/>
        </w:rPr>
      </w:pPr>
      <w:r>
        <w:rPr>
          <w:rFonts w:ascii="宋体" w:hAnsi="宋体" w:cs="宋体"/>
          <w:sz w:val="24"/>
          <w:szCs w:val="24"/>
        </w:rPr>
        <w:t>3.1.1</w:t>
      </w:r>
      <w:bookmarkStart w:id="140" w:name="_Toc330304876"/>
      <w:r>
        <w:rPr>
          <w:rFonts w:ascii="宋体" w:hAnsi="宋体" w:cs="宋体"/>
          <w:sz w:val="24"/>
          <w:szCs w:val="24"/>
        </w:rPr>
        <w:t>响应文件应按 “响应文件格式”进行编写，如有必要，可以增加附页，作为响应文件的组成部分。其中，投标函附录在满足竞争性磋商文件实质性要求的基础上，可以提出比竞争性磋商文件要求更有利于采购人的承诺。</w:t>
      </w:r>
    </w:p>
    <w:p w14:paraId="0D422E67">
      <w:pPr>
        <w:spacing w:line="464" w:lineRule="exact"/>
        <w:rPr>
          <w:rFonts w:ascii="宋体" w:cs="宋体"/>
          <w:b/>
          <w:bCs/>
          <w:sz w:val="24"/>
          <w:szCs w:val="24"/>
        </w:rPr>
      </w:pPr>
      <w:r>
        <w:rPr>
          <w:rFonts w:ascii="宋体" w:hAnsi="宋体" w:cs="宋体"/>
          <w:b/>
          <w:bCs/>
          <w:sz w:val="24"/>
          <w:szCs w:val="24"/>
        </w:rPr>
        <w:t xml:space="preserve">3.2 </w:t>
      </w:r>
      <w:r>
        <w:rPr>
          <w:rFonts w:hint="eastAsia" w:ascii="宋体" w:hAnsi="宋体" w:cs="宋体"/>
          <w:b/>
          <w:bCs/>
          <w:sz w:val="24"/>
          <w:szCs w:val="24"/>
        </w:rPr>
        <w:t>投标报价</w:t>
      </w:r>
      <w:bookmarkEnd w:id="140"/>
    </w:p>
    <w:p w14:paraId="3EFAE748">
      <w:pPr>
        <w:spacing w:line="464" w:lineRule="exact"/>
        <w:ind w:firstLine="480" w:firstLineChars="200"/>
        <w:rPr>
          <w:rFonts w:hint="eastAsia" w:ascii="宋体" w:hAnsi="宋体" w:cs="宋体"/>
          <w:sz w:val="24"/>
          <w:szCs w:val="24"/>
        </w:rPr>
      </w:pPr>
      <w:r>
        <w:rPr>
          <w:rFonts w:ascii="宋体" w:hAnsi="宋体" w:cs="宋体"/>
          <w:sz w:val="24"/>
          <w:szCs w:val="24"/>
        </w:rPr>
        <w:t>3.2.1 供应商应按</w:t>
      </w:r>
      <w:r>
        <w:rPr>
          <w:rFonts w:hint="eastAsia" w:hAnsi="宋体" w:cs="宋体"/>
          <w:sz w:val="24"/>
          <w:szCs w:val="24"/>
        </w:rPr>
        <w:t>竞争性磋商文件</w:t>
      </w:r>
      <w:r>
        <w:rPr>
          <w:rFonts w:ascii="宋体" w:hAnsi="宋体" w:cs="宋体"/>
          <w:sz w:val="24"/>
          <w:szCs w:val="24"/>
        </w:rPr>
        <w:t>、</w:t>
      </w:r>
      <w:r>
        <w:rPr>
          <w:rFonts w:hint="eastAsia" w:hAnsi="宋体" w:cs="宋体"/>
          <w:sz w:val="24"/>
          <w:szCs w:val="24"/>
        </w:rPr>
        <w:t>竞争性磋商文件</w:t>
      </w:r>
      <w:r>
        <w:rPr>
          <w:rFonts w:ascii="宋体" w:hAnsi="宋体" w:cs="宋体"/>
          <w:sz w:val="24"/>
          <w:szCs w:val="24"/>
        </w:rPr>
        <w:t>澄清（答疑）纪要、</w:t>
      </w:r>
      <w:r>
        <w:rPr>
          <w:rFonts w:hint="eastAsia" w:hAnsi="宋体" w:cs="宋体"/>
          <w:sz w:val="24"/>
          <w:szCs w:val="24"/>
        </w:rPr>
        <w:t>竞争性磋商文件</w:t>
      </w:r>
      <w:r>
        <w:rPr>
          <w:rFonts w:ascii="宋体" w:hAnsi="宋体" w:cs="宋体"/>
          <w:sz w:val="24"/>
          <w:szCs w:val="24"/>
        </w:rPr>
        <w:t>修改补充通知及相关技术要求进行</w:t>
      </w:r>
      <w:r>
        <w:rPr>
          <w:rFonts w:hint="eastAsia" w:ascii="宋体" w:hAnsi="宋体" w:cs="宋体"/>
          <w:sz w:val="24"/>
          <w:szCs w:val="24"/>
        </w:rPr>
        <w:t>自主</w:t>
      </w:r>
      <w:r>
        <w:rPr>
          <w:rFonts w:ascii="宋体" w:hAnsi="宋体" w:cs="宋体"/>
          <w:sz w:val="24"/>
          <w:szCs w:val="24"/>
        </w:rPr>
        <w:t xml:space="preserve">报价。 </w:t>
      </w:r>
    </w:p>
    <w:p w14:paraId="3A878209">
      <w:pPr>
        <w:spacing w:line="464" w:lineRule="exact"/>
        <w:ind w:firstLine="480" w:firstLineChars="200"/>
        <w:rPr>
          <w:rFonts w:hint="eastAsia" w:ascii="宋体" w:hAnsi="宋体" w:cs="宋体"/>
          <w:sz w:val="24"/>
          <w:szCs w:val="24"/>
        </w:rPr>
      </w:pPr>
      <w:r>
        <w:rPr>
          <w:rFonts w:ascii="宋体" w:hAnsi="宋体" w:cs="宋体"/>
          <w:sz w:val="24"/>
          <w:szCs w:val="24"/>
        </w:rPr>
        <w:t>3.2.2 本项目设招标控制价，响应报价高于招标控制价的按</w:t>
      </w:r>
      <w:r>
        <w:rPr>
          <w:rFonts w:hint="eastAsia" w:ascii="宋体" w:hAnsi="宋体" w:cs="宋体"/>
          <w:sz w:val="24"/>
          <w:szCs w:val="24"/>
        </w:rPr>
        <w:t>废</w:t>
      </w:r>
      <w:r>
        <w:rPr>
          <w:rFonts w:ascii="宋体" w:hAnsi="宋体" w:cs="宋体"/>
          <w:sz w:val="24"/>
          <w:szCs w:val="24"/>
        </w:rPr>
        <w:t>标处理。</w:t>
      </w:r>
    </w:p>
    <w:p w14:paraId="7B9454AE">
      <w:pPr>
        <w:spacing w:line="464" w:lineRule="exact"/>
        <w:ind w:firstLine="480" w:firstLineChars="200"/>
        <w:rPr>
          <w:rFonts w:ascii="宋体" w:cs="宋体"/>
          <w:sz w:val="24"/>
          <w:szCs w:val="24"/>
        </w:rPr>
      </w:pPr>
      <w:r>
        <w:rPr>
          <w:rFonts w:hint="eastAsia" w:ascii="宋体" w:hAnsi="宋体" w:cs="宋体"/>
          <w:sz w:val="24"/>
          <w:szCs w:val="24"/>
        </w:rPr>
        <w:t>3.2.3供应商应按“响应文件格式”的要求填写。</w:t>
      </w:r>
    </w:p>
    <w:p w14:paraId="04818702">
      <w:pPr>
        <w:autoSpaceDE w:val="0"/>
        <w:spacing w:line="464" w:lineRule="exact"/>
        <w:ind w:firstLine="480" w:firstLineChars="200"/>
        <w:rPr>
          <w:rFonts w:hint="eastAsia" w:ascii="宋体" w:hAnsi="宋体" w:cs="宋体"/>
          <w:sz w:val="24"/>
          <w:szCs w:val="24"/>
        </w:rPr>
      </w:pPr>
      <w:r>
        <w:rPr>
          <w:rFonts w:ascii="宋体" w:hAnsi="宋体" w:cs="宋体"/>
          <w:sz w:val="24"/>
          <w:szCs w:val="24"/>
        </w:rPr>
        <w:t>3.2.</w:t>
      </w:r>
      <w:r>
        <w:rPr>
          <w:rFonts w:hint="eastAsia" w:ascii="宋体" w:hAnsi="宋体" w:cs="宋体"/>
          <w:sz w:val="24"/>
          <w:szCs w:val="24"/>
        </w:rPr>
        <w:t>4供应商在投标截止时间前修改投标函中的投标总报价的，此修改须符合本章第</w:t>
      </w:r>
      <w:r>
        <w:rPr>
          <w:rFonts w:ascii="宋体" w:hAnsi="宋体" w:cs="宋体"/>
          <w:sz w:val="24"/>
          <w:szCs w:val="24"/>
        </w:rPr>
        <w:t>4.3</w:t>
      </w:r>
      <w:r>
        <w:rPr>
          <w:rFonts w:hint="eastAsia" w:ascii="宋体" w:hAnsi="宋体" w:cs="宋体"/>
          <w:sz w:val="24"/>
          <w:szCs w:val="24"/>
        </w:rPr>
        <w:t>款的有关要求。</w:t>
      </w:r>
    </w:p>
    <w:p w14:paraId="78250B80">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 xml:space="preserve">3.2.5 </w:t>
      </w:r>
      <w:r>
        <w:rPr>
          <w:rFonts w:ascii="宋体" w:hAnsi="宋体" w:cs="宋体"/>
          <w:sz w:val="24"/>
          <w:szCs w:val="24"/>
        </w:rPr>
        <w:t>投标报价是评标的重要依据，但不是唯一依据，最低报价不是中标的决定因素。本次报价适用于</w:t>
      </w:r>
      <w:r>
        <w:rPr>
          <w:rFonts w:hint="eastAsia" w:ascii="宋体" w:hAnsi="宋体" w:cs="宋体"/>
          <w:sz w:val="24"/>
          <w:szCs w:val="24"/>
        </w:rPr>
        <w:t>本</w:t>
      </w:r>
      <w:r>
        <w:rPr>
          <w:rFonts w:ascii="宋体" w:hAnsi="宋体" w:cs="宋体"/>
          <w:sz w:val="24"/>
          <w:szCs w:val="24"/>
        </w:rPr>
        <w:t>项目的单价，费用主要包括设备运行用电及设备维护、材料投加、人工费等</w:t>
      </w:r>
      <w:r>
        <w:rPr>
          <w:rFonts w:hint="eastAsia" w:ascii="宋体" w:hAnsi="宋体" w:cs="宋体"/>
          <w:sz w:val="24"/>
          <w:szCs w:val="24"/>
        </w:rPr>
        <w:t>。</w:t>
      </w:r>
      <w:r>
        <w:rPr>
          <w:rFonts w:ascii="宋体" w:hAnsi="宋体" w:cs="宋体"/>
          <w:sz w:val="24"/>
          <w:szCs w:val="24"/>
        </w:rPr>
        <w:t xml:space="preserve"> </w:t>
      </w:r>
    </w:p>
    <w:p w14:paraId="40371B0C">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 xml:space="preserve">3.2.6 </w:t>
      </w:r>
      <w:r>
        <w:rPr>
          <w:rFonts w:ascii="宋体" w:hAnsi="宋体" w:cs="宋体"/>
          <w:sz w:val="24"/>
          <w:szCs w:val="24"/>
        </w:rPr>
        <w:t>全部报价均应以人民币为计量币种，并以人民币进行结算。</w:t>
      </w:r>
    </w:p>
    <w:p w14:paraId="1D15646B">
      <w:pPr>
        <w:spacing w:line="464" w:lineRule="exact"/>
        <w:ind w:firstLine="480" w:firstLineChars="200"/>
        <w:rPr>
          <w:rFonts w:hint="eastAsia" w:ascii="宋体" w:hAnsi="宋体" w:cs="宋体"/>
          <w:sz w:val="24"/>
          <w:szCs w:val="24"/>
        </w:rPr>
      </w:pPr>
      <w:r>
        <w:rPr>
          <w:rFonts w:hint="eastAsia" w:ascii="宋体" w:hAnsi="宋体" w:cs="宋体"/>
          <w:sz w:val="24"/>
          <w:szCs w:val="24"/>
        </w:rPr>
        <w:t>3.2.7 磋商小组</w:t>
      </w:r>
      <w:r>
        <w:rPr>
          <w:rFonts w:ascii="宋体" w:hAnsi="宋体" w:cs="宋体"/>
          <w:sz w:val="24"/>
          <w:szCs w:val="24"/>
        </w:rPr>
        <w:t>认为供应商的报价明显低于其他通过符合性审查供应商的报价，有可能影响</w:t>
      </w:r>
      <w:r>
        <w:rPr>
          <w:rFonts w:hint="eastAsia" w:ascii="宋体" w:hAnsi="宋体" w:cs="宋体"/>
          <w:sz w:val="24"/>
          <w:szCs w:val="24"/>
        </w:rPr>
        <w:t>质量要求</w:t>
      </w:r>
      <w:r>
        <w:rPr>
          <w:rFonts w:ascii="宋体" w:hAnsi="宋体" w:cs="宋体"/>
          <w:sz w:val="24"/>
          <w:szCs w:val="24"/>
        </w:rPr>
        <w:t xml:space="preserve">或者不能诚信履约的，应当要求其在评标现场合理的时间内提供书面说明，必要时提交相关证明材料；供应商不能证明其报价合理性的，磋商小组应当将其作为无效投标处理。 </w:t>
      </w:r>
    </w:p>
    <w:p w14:paraId="58BA142B">
      <w:pPr>
        <w:spacing w:line="464" w:lineRule="exact"/>
        <w:rPr>
          <w:rFonts w:ascii="宋体" w:cs="宋体"/>
          <w:b/>
          <w:bCs/>
          <w:sz w:val="24"/>
          <w:szCs w:val="24"/>
        </w:rPr>
      </w:pPr>
      <w:bookmarkStart w:id="141" w:name="_Toc144974517"/>
      <w:bookmarkEnd w:id="141"/>
      <w:bookmarkStart w:id="142" w:name="_Toc152045549"/>
      <w:bookmarkEnd w:id="142"/>
      <w:bookmarkStart w:id="143" w:name="_Toc152042325"/>
      <w:bookmarkEnd w:id="143"/>
      <w:bookmarkStart w:id="144" w:name="_Toc325553570"/>
      <w:bookmarkEnd w:id="144"/>
      <w:bookmarkStart w:id="145" w:name="_Toc330304877"/>
      <w:r>
        <w:rPr>
          <w:rFonts w:ascii="宋体" w:hAnsi="宋体" w:cs="宋体"/>
          <w:b/>
          <w:bCs/>
          <w:sz w:val="24"/>
          <w:szCs w:val="24"/>
        </w:rPr>
        <w:t xml:space="preserve">3.3 </w:t>
      </w:r>
      <w:r>
        <w:rPr>
          <w:rFonts w:hint="eastAsia" w:ascii="宋体" w:hAnsi="宋体" w:cs="宋体"/>
          <w:b/>
          <w:bCs/>
          <w:sz w:val="24"/>
          <w:szCs w:val="24"/>
        </w:rPr>
        <w:t>磋商有效期</w:t>
      </w:r>
      <w:bookmarkEnd w:id="145"/>
    </w:p>
    <w:p w14:paraId="75A49168">
      <w:pPr>
        <w:autoSpaceDE w:val="0"/>
        <w:spacing w:line="464" w:lineRule="exact"/>
        <w:ind w:firstLine="480" w:firstLineChars="200"/>
        <w:rPr>
          <w:rFonts w:ascii="宋体" w:cs="宋体"/>
          <w:sz w:val="24"/>
          <w:szCs w:val="24"/>
        </w:rPr>
      </w:pPr>
      <w:r>
        <w:rPr>
          <w:rFonts w:ascii="宋体" w:hAnsi="宋体" w:cs="宋体"/>
          <w:sz w:val="24"/>
          <w:szCs w:val="24"/>
        </w:rPr>
        <w:t xml:space="preserve">3.3.1 </w:t>
      </w:r>
      <w:r>
        <w:rPr>
          <w:rFonts w:hint="eastAsia" w:ascii="宋体" w:hAnsi="宋体" w:cs="宋体"/>
          <w:sz w:val="24"/>
          <w:szCs w:val="24"/>
        </w:rPr>
        <w:t>在供应商须知前附表规定的磋商有效期内，供应商不得要求撤销或修改其响应文件。</w:t>
      </w:r>
      <w:r>
        <w:rPr>
          <w:rFonts w:ascii="宋体" w:hAnsi="宋体" w:cs="宋体"/>
          <w:sz w:val="24"/>
          <w:szCs w:val="24"/>
        </w:rPr>
        <w:t>在</w:t>
      </w:r>
      <w:r>
        <w:rPr>
          <w:rFonts w:hint="eastAsia" w:ascii="宋体" w:hAnsi="宋体" w:cs="宋体"/>
          <w:sz w:val="24"/>
          <w:szCs w:val="24"/>
        </w:rPr>
        <w:t>磋商</w:t>
      </w:r>
      <w:r>
        <w:rPr>
          <w:rFonts w:ascii="宋体" w:hAnsi="宋体" w:cs="宋体"/>
          <w:sz w:val="24"/>
          <w:szCs w:val="24"/>
        </w:rPr>
        <w:t>有效期内，供应商撤销响应文件的，应承担</w:t>
      </w:r>
      <w:r>
        <w:rPr>
          <w:rFonts w:hint="eastAsia" w:hAnsi="宋体" w:cs="宋体"/>
          <w:sz w:val="24"/>
          <w:szCs w:val="24"/>
        </w:rPr>
        <w:t>竞争性磋商文件</w:t>
      </w:r>
      <w:r>
        <w:rPr>
          <w:rFonts w:ascii="宋体" w:hAnsi="宋体" w:cs="宋体"/>
          <w:sz w:val="24"/>
          <w:szCs w:val="24"/>
        </w:rPr>
        <w:t>和法律规定的责任。</w:t>
      </w:r>
    </w:p>
    <w:p w14:paraId="456B302D">
      <w:pPr>
        <w:autoSpaceDE w:val="0"/>
        <w:spacing w:line="464" w:lineRule="exact"/>
        <w:ind w:firstLine="480" w:firstLineChars="200"/>
        <w:rPr>
          <w:rFonts w:hint="eastAsia" w:ascii="宋体" w:hAnsi="宋体" w:cs="宋体"/>
          <w:sz w:val="24"/>
          <w:szCs w:val="24"/>
        </w:rPr>
      </w:pPr>
      <w:r>
        <w:rPr>
          <w:rFonts w:ascii="宋体" w:hAnsi="宋体" w:cs="宋体"/>
          <w:sz w:val="24"/>
          <w:szCs w:val="24"/>
        </w:rPr>
        <w:t>3.3.2</w:t>
      </w:r>
      <w:r>
        <w:rPr>
          <w:rFonts w:hint="eastAsia" w:ascii="宋体" w:hAnsi="宋体" w:cs="宋体"/>
          <w:sz w:val="24"/>
          <w:szCs w:val="24"/>
        </w:rPr>
        <w:t>出现特殊情况需要延长磋商有效期的，采购人以书面形式通知所有供应商延长磋商有效期。供应商同意延长的，应相应延长其有效期，但不得要求或被允许修改或撤销其响应文件；供应商拒绝延长的，其投标失效。</w:t>
      </w:r>
    </w:p>
    <w:p w14:paraId="3C240FAE">
      <w:pPr>
        <w:spacing w:line="464" w:lineRule="exact"/>
        <w:rPr>
          <w:rFonts w:hint="eastAsia" w:ascii="宋体" w:hAnsi="宋体" w:cs="宋体"/>
          <w:b/>
          <w:bCs/>
          <w:sz w:val="24"/>
          <w:szCs w:val="24"/>
        </w:rPr>
      </w:pPr>
      <w:bookmarkStart w:id="146" w:name="_Toc330304879"/>
      <w:bookmarkEnd w:id="146"/>
      <w:bookmarkStart w:id="147" w:name="_Toc152045552"/>
      <w:bookmarkEnd w:id="147"/>
      <w:bookmarkStart w:id="148" w:name="_Toc144974520"/>
      <w:bookmarkEnd w:id="148"/>
      <w:bookmarkStart w:id="149" w:name="_Toc152042326"/>
      <w:bookmarkEnd w:id="149"/>
      <w:bookmarkStart w:id="150" w:name="_Toc325553571"/>
      <w:bookmarkEnd w:id="150"/>
      <w:bookmarkStart w:id="151" w:name="_Toc152045550"/>
      <w:bookmarkEnd w:id="151"/>
      <w:bookmarkStart w:id="152" w:name="_Toc152042328"/>
      <w:bookmarkEnd w:id="152"/>
      <w:bookmarkStart w:id="153" w:name="_Toc144974518"/>
      <w:bookmarkEnd w:id="153"/>
      <w:bookmarkStart w:id="154" w:name="_Toc325553572"/>
      <w:bookmarkEnd w:id="154"/>
      <w:bookmarkStart w:id="155" w:name="_Toc6201"/>
      <w:r>
        <w:rPr>
          <w:rFonts w:ascii="宋体" w:hAnsi="宋体" w:cs="宋体"/>
          <w:b/>
          <w:bCs/>
          <w:sz w:val="24"/>
          <w:szCs w:val="24"/>
        </w:rPr>
        <w:t xml:space="preserve">3.4 </w:t>
      </w:r>
      <w:r>
        <w:rPr>
          <w:rFonts w:hint="eastAsia" w:ascii="宋体" w:hAnsi="宋体" w:cs="宋体"/>
          <w:b/>
          <w:bCs/>
          <w:sz w:val="24"/>
          <w:szCs w:val="24"/>
        </w:rPr>
        <w:t>投标保证金：无</w:t>
      </w:r>
    </w:p>
    <w:p w14:paraId="4E7A5E2D">
      <w:pPr>
        <w:spacing w:line="464" w:lineRule="exact"/>
        <w:rPr>
          <w:rFonts w:ascii="宋体" w:cs="宋体"/>
          <w:b/>
          <w:bCs/>
          <w:sz w:val="24"/>
          <w:szCs w:val="24"/>
        </w:rPr>
      </w:pPr>
      <w:r>
        <w:rPr>
          <w:rFonts w:hint="eastAsia" w:ascii="宋体" w:hAnsi="宋体" w:cs="宋体"/>
          <w:b/>
          <w:bCs/>
          <w:sz w:val="24"/>
          <w:szCs w:val="24"/>
        </w:rPr>
        <w:t>3.5 资格审查资料</w:t>
      </w:r>
      <w:bookmarkEnd w:id="155"/>
    </w:p>
    <w:p w14:paraId="477BC7A1">
      <w:pPr>
        <w:autoSpaceDE w:val="0"/>
        <w:spacing w:line="464" w:lineRule="exact"/>
        <w:ind w:firstLine="482" w:firstLineChars="200"/>
        <w:rPr>
          <w:rFonts w:ascii="宋体" w:cs="宋体"/>
          <w:sz w:val="24"/>
          <w:szCs w:val="24"/>
        </w:rPr>
      </w:pPr>
      <w:r>
        <w:rPr>
          <w:rFonts w:hint="eastAsia" w:ascii="宋体" w:hAnsi="宋体" w:cs="宋体"/>
          <w:b/>
          <w:bCs/>
          <w:sz w:val="24"/>
          <w:szCs w:val="24"/>
        </w:rPr>
        <w:t>参照“第三章评标办法资格审查标准”中要求的相关材料。</w:t>
      </w:r>
    </w:p>
    <w:p w14:paraId="72A638D0">
      <w:pPr>
        <w:spacing w:line="464" w:lineRule="exact"/>
        <w:rPr>
          <w:rFonts w:ascii="宋体" w:cs="宋体"/>
          <w:b/>
          <w:bCs/>
          <w:sz w:val="24"/>
          <w:szCs w:val="24"/>
        </w:rPr>
      </w:pPr>
      <w:bookmarkStart w:id="156" w:name="_Toc144974521"/>
      <w:bookmarkEnd w:id="156"/>
      <w:bookmarkStart w:id="157" w:name="_Toc152045553"/>
      <w:bookmarkEnd w:id="157"/>
      <w:bookmarkStart w:id="158" w:name="_Toc325553573"/>
      <w:bookmarkEnd w:id="158"/>
      <w:bookmarkStart w:id="159" w:name="_Toc330304880"/>
      <w:bookmarkEnd w:id="159"/>
      <w:bookmarkStart w:id="160" w:name="_Toc152042329"/>
      <w:bookmarkEnd w:id="160"/>
      <w:bookmarkStart w:id="161" w:name="_Toc5366"/>
      <w:r>
        <w:rPr>
          <w:rFonts w:ascii="宋体" w:hAnsi="宋体" w:cs="宋体"/>
          <w:b/>
          <w:bCs/>
          <w:sz w:val="24"/>
          <w:szCs w:val="24"/>
        </w:rPr>
        <w:t>3.</w:t>
      </w:r>
      <w:r>
        <w:rPr>
          <w:rFonts w:hint="eastAsia" w:ascii="宋体" w:hAnsi="宋体" w:cs="宋体"/>
          <w:b/>
          <w:bCs/>
          <w:sz w:val="24"/>
          <w:szCs w:val="24"/>
        </w:rPr>
        <w:t>6备选投标方案</w:t>
      </w:r>
      <w:bookmarkEnd w:id="161"/>
      <w:r>
        <w:rPr>
          <w:rFonts w:hint="eastAsia" w:ascii="宋体" w:hAnsi="宋体" w:cs="宋体"/>
          <w:b/>
          <w:bCs/>
          <w:sz w:val="24"/>
          <w:szCs w:val="24"/>
        </w:rPr>
        <w:t>（不接受）</w:t>
      </w:r>
    </w:p>
    <w:p w14:paraId="6DDE6EC8">
      <w:pPr>
        <w:autoSpaceDE w:val="0"/>
        <w:spacing w:line="464" w:lineRule="exact"/>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 xml:space="preserve">.1 除供应商须知前附表另有规定外，供应商不得递交备选投标方案，否则其投标将被否决。 </w:t>
      </w:r>
    </w:p>
    <w:p w14:paraId="094CEC2A">
      <w:pPr>
        <w:autoSpaceDE w:val="0"/>
        <w:spacing w:line="464" w:lineRule="exact"/>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.2 允许供应商递交备选投标方案的，只有中标人所递交的备选投标方案方可予以考虑。磋商小组认为中标人的备选投标方案优于其按照</w:t>
      </w:r>
      <w:r>
        <w:rPr>
          <w:rFonts w:hint="eastAsia" w:hAnsi="宋体" w:cs="宋体"/>
          <w:sz w:val="24"/>
          <w:szCs w:val="24"/>
        </w:rPr>
        <w:t>竞争性磋商文件</w:t>
      </w:r>
      <w:r>
        <w:rPr>
          <w:rFonts w:ascii="宋体" w:hAnsi="宋体" w:cs="宋体"/>
          <w:sz w:val="24"/>
          <w:szCs w:val="24"/>
        </w:rPr>
        <w:t xml:space="preserve">要求编制的投标方案的，采购人可以接受该备选投标方案。 </w:t>
      </w:r>
    </w:p>
    <w:p w14:paraId="670CC453">
      <w:pPr>
        <w:autoSpaceDE w:val="0"/>
        <w:spacing w:line="464"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.3 供应商提供两个或两个以上投标报价，或者在响应文件中提供一个报价，但同时提供两个或两个以上方案的，视为提供备选方案。</w:t>
      </w:r>
    </w:p>
    <w:p w14:paraId="6FD47F6A">
      <w:pPr>
        <w:spacing w:line="464" w:lineRule="exact"/>
        <w:rPr>
          <w:rFonts w:ascii="宋体" w:cs="宋体"/>
          <w:b/>
          <w:bCs/>
          <w:sz w:val="24"/>
          <w:szCs w:val="24"/>
        </w:rPr>
      </w:pPr>
      <w:bookmarkStart w:id="162" w:name="_Toc325553574"/>
      <w:bookmarkEnd w:id="162"/>
      <w:bookmarkStart w:id="163" w:name="_Toc330304881"/>
      <w:bookmarkEnd w:id="163"/>
      <w:bookmarkStart w:id="164" w:name="_Toc152045554"/>
      <w:bookmarkEnd w:id="164"/>
      <w:bookmarkStart w:id="165" w:name="_Toc152042330"/>
      <w:bookmarkEnd w:id="165"/>
      <w:bookmarkStart w:id="166" w:name="_Toc144974522"/>
      <w:bookmarkEnd w:id="166"/>
      <w:bookmarkStart w:id="167" w:name="_Toc9447"/>
      <w:r>
        <w:rPr>
          <w:rFonts w:ascii="宋体" w:hAnsi="宋体" w:cs="宋体"/>
          <w:b/>
          <w:bCs/>
          <w:sz w:val="24"/>
          <w:szCs w:val="24"/>
        </w:rPr>
        <w:t>3.</w:t>
      </w:r>
      <w:r>
        <w:rPr>
          <w:rFonts w:hint="eastAsia" w:ascii="宋体" w:hAnsi="宋体" w:cs="宋体"/>
          <w:b/>
          <w:bCs/>
          <w:sz w:val="24"/>
          <w:szCs w:val="24"/>
        </w:rPr>
        <w:t>7响应文件的编制</w:t>
      </w:r>
      <w:bookmarkEnd w:id="167"/>
    </w:p>
    <w:p w14:paraId="4628E87D">
      <w:pPr>
        <w:autoSpaceDE w:val="0"/>
        <w:spacing w:line="464" w:lineRule="exact"/>
        <w:ind w:firstLine="480" w:firstLineChars="200"/>
        <w:rPr>
          <w:rFonts w:ascii="宋体" w:cs="宋体"/>
          <w:sz w:val="24"/>
          <w:szCs w:val="24"/>
        </w:rPr>
      </w:pPr>
      <w:bookmarkStart w:id="168" w:name="_Toc889"/>
      <w:bookmarkEnd w:id="168"/>
      <w:bookmarkStart w:id="169" w:name="_Toc23497"/>
      <w:bookmarkStart w:id="170" w:name="_Toc1444_WPSOffice_Level2"/>
      <w:bookmarkStart w:id="171" w:name="_Toc13112_WPSOffice_Level2"/>
      <w:r>
        <w:rPr>
          <w:rFonts w:ascii="宋体" w:hAnsi="宋体" w:cs="宋体"/>
          <w:sz w:val="24"/>
          <w:szCs w:val="24"/>
        </w:rPr>
        <w:t>3.</w:t>
      </w:r>
      <w:r>
        <w:rPr>
          <w:rFonts w:hint="eastAsia" w:ascii="宋体" w:hAnsi="宋体" w:cs="宋体"/>
          <w:sz w:val="24"/>
          <w:szCs w:val="24"/>
        </w:rPr>
        <w:t>7</w:t>
      </w:r>
      <w:r>
        <w:rPr>
          <w:rFonts w:ascii="宋体" w:hAnsi="宋体" w:cs="宋体"/>
          <w:sz w:val="24"/>
          <w:szCs w:val="24"/>
        </w:rPr>
        <w:t>.1 响应文件应按“响应文件格式”要求进行编写（如有需要，表格可以增加行、列）， 如有必要，可以増加附页，作为响应文件的组成部分。</w:t>
      </w:r>
      <w:r>
        <w:rPr>
          <w:rFonts w:hint="eastAsia" w:ascii="宋体" w:hAnsi="宋体" w:cs="宋体"/>
          <w:sz w:val="24"/>
          <w:szCs w:val="24"/>
        </w:rPr>
        <w:t>其中，投标函附录在满足</w:t>
      </w:r>
      <w:r>
        <w:rPr>
          <w:rFonts w:hint="eastAsia" w:hAnsi="宋体" w:cs="宋体"/>
          <w:sz w:val="24"/>
          <w:szCs w:val="24"/>
        </w:rPr>
        <w:t>竞争性磋商文件</w:t>
      </w:r>
      <w:r>
        <w:rPr>
          <w:rFonts w:hint="eastAsia" w:ascii="宋体" w:hAnsi="宋体" w:cs="宋体"/>
          <w:sz w:val="24"/>
          <w:szCs w:val="24"/>
        </w:rPr>
        <w:t>实质性要求的基础上，可以提出比</w:t>
      </w:r>
      <w:r>
        <w:rPr>
          <w:rFonts w:hint="eastAsia" w:hAnsi="宋体" w:cs="宋体"/>
          <w:sz w:val="24"/>
          <w:szCs w:val="24"/>
        </w:rPr>
        <w:t>竞争性磋商文件</w:t>
      </w:r>
      <w:r>
        <w:rPr>
          <w:rFonts w:hint="eastAsia" w:ascii="宋体" w:hAnsi="宋体" w:cs="宋体"/>
          <w:sz w:val="24"/>
          <w:szCs w:val="24"/>
        </w:rPr>
        <w:t>要求更有利于采购人的承诺。</w:t>
      </w:r>
    </w:p>
    <w:p w14:paraId="2A6BDB4D">
      <w:pPr>
        <w:autoSpaceDE w:val="0"/>
        <w:spacing w:line="464" w:lineRule="exact"/>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 xml:space="preserve">.2 </w:t>
      </w:r>
      <w:r>
        <w:rPr>
          <w:rFonts w:hint="eastAsia" w:ascii="宋体" w:hAnsi="宋体" w:cs="宋体"/>
          <w:sz w:val="24"/>
          <w:szCs w:val="24"/>
        </w:rPr>
        <w:t>响应文件应当对</w:t>
      </w:r>
      <w:r>
        <w:rPr>
          <w:rFonts w:hint="eastAsia" w:hAnsi="宋体" w:cs="宋体"/>
          <w:sz w:val="24"/>
          <w:szCs w:val="24"/>
        </w:rPr>
        <w:t>竞争性磋商文件</w:t>
      </w:r>
      <w:r>
        <w:rPr>
          <w:rFonts w:hint="eastAsia" w:ascii="宋体" w:hAnsi="宋体" w:cs="宋体"/>
          <w:sz w:val="24"/>
          <w:szCs w:val="24"/>
        </w:rPr>
        <w:t>有关供货期、磋商有效期、质量要求等实质性内容作出响应。</w:t>
      </w:r>
    </w:p>
    <w:p w14:paraId="06C8F54A">
      <w:pPr>
        <w:autoSpaceDE w:val="0"/>
        <w:spacing w:line="464"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3响应文件的制作应满足以下规定：</w:t>
      </w:r>
    </w:p>
    <w:p w14:paraId="6676C2F7">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）响应文件由供应商使用“新郑市公共资源交易中心”网站【下载专区】的“投标文件制作工具”制作生成。</w:t>
      </w:r>
    </w:p>
    <w:p w14:paraId="75226893">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）“响应文件格式”中要求盖电子签章的地方，供应商均应按照要求盖电子签章。</w:t>
      </w:r>
    </w:p>
    <w:p w14:paraId="4412D05B">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）响应文件制作完成后，供应商应使用</w:t>
      </w:r>
      <w:r>
        <w:rPr>
          <w:rFonts w:ascii="宋体" w:hAnsi="宋体" w:cs="宋体"/>
          <w:sz w:val="24"/>
          <w:szCs w:val="24"/>
        </w:rPr>
        <w:t xml:space="preserve"> CA </w:t>
      </w:r>
      <w:r>
        <w:rPr>
          <w:rFonts w:hint="eastAsia" w:ascii="宋体" w:hAnsi="宋体" w:cs="宋体"/>
          <w:sz w:val="24"/>
          <w:szCs w:val="24"/>
        </w:rPr>
        <w:t>数字证书对响应文件进行文件加密，形成加密的响应文件。</w:t>
      </w:r>
    </w:p>
    <w:p w14:paraId="20CFFDC4">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）响应文件制作的具体方法详见“电子投标文件制作手册”。</w:t>
      </w:r>
    </w:p>
    <w:p w14:paraId="6646FF59">
      <w:pPr>
        <w:autoSpaceDE w:val="0"/>
        <w:spacing w:line="464"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4因供应商自身原因而导致响应文件无法导入“新郑市公共资源交易中心”电子开标、评标系统，该投标视为无效投标，供应商自行承担由此导致的全部责任。</w:t>
      </w:r>
    </w:p>
    <w:p w14:paraId="4CBEED8C">
      <w:pPr>
        <w:autoSpaceDE w:val="0"/>
        <w:spacing w:line="464" w:lineRule="exact"/>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5供应商应按照</w:t>
      </w:r>
      <w:r>
        <w:rPr>
          <w:rFonts w:hint="eastAsia" w:hAnsi="宋体" w:cs="宋体"/>
          <w:sz w:val="24"/>
          <w:szCs w:val="24"/>
        </w:rPr>
        <w:t>竞争性磋商文件</w:t>
      </w:r>
      <w:r>
        <w:rPr>
          <w:rFonts w:hint="eastAsia" w:ascii="宋体" w:hAnsi="宋体" w:cs="宋体"/>
          <w:sz w:val="24"/>
          <w:szCs w:val="24"/>
        </w:rPr>
        <w:t>的要求，规范、明确、准时的提交响应文件。如果没有按照</w:t>
      </w:r>
      <w:r>
        <w:rPr>
          <w:rFonts w:hint="eastAsia" w:hAnsi="宋体" w:cs="宋体"/>
          <w:sz w:val="24"/>
          <w:szCs w:val="24"/>
        </w:rPr>
        <w:t>竞争性磋商文件</w:t>
      </w:r>
      <w:r>
        <w:rPr>
          <w:rFonts w:hint="eastAsia" w:ascii="宋体" w:hAnsi="宋体" w:cs="宋体"/>
          <w:sz w:val="24"/>
          <w:szCs w:val="24"/>
        </w:rPr>
        <w:t>的要求提交全部资料并保证所提供全部资料的真实性，或没有对</w:t>
      </w:r>
      <w:r>
        <w:rPr>
          <w:rFonts w:hint="eastAsia" w:hAnsi="宋体" w:cs="宋体"/>
          <w:sz w:val="24"/>
          <w:szCs w:val="24"/>
        </w:rPr>
        <w:t>竞争性磋商文件</w:t>
      </w:r>
      <w:r>
        <w:rPr>
          <w:rFonts w:hint="eastAsia" w:ascii="宋体" w:hAnsi="宋体" w:cs="宋体"/>
          <w:sz w:val="24"/>
          <w:szCs w:val="24"/>
        </w:rPr>
        <w:t>做出实质性响应，其风险应由供应商自行承担。</w:t>
      </w:r>
    </w:p>
    <w:p w14:paraId="53ABE322">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 xml:space="preserve">3.7.6 </w:t>
      </w:r>
      <w:r>
        <w:rPr>
          <w:rFonts w:ascii="宋体" w:hAnsi="宋体" w:cs="宋体"/>
          <w:sz w:val="24"/>
          <w:szCs w:val="24"/>
        </w:rPr>
        <w:t>未按上述要求提供的响应文件将视为无效投标。</w:t>
      </w:r>
    </w:p>
    <w:p w14:paraId="04356FF0">
      <w:pPr>
        <w:pStyle w:val="3"/>
        <w:spacing w:line="464" w:lineRule="exact"/>
        <w:rPr>
          <w:rFonts w:hint="eastAsia" w:ascii="宋体" w:hAnsi="宋体" w:eastAsia="宋体"/>
          <w:sz w:val="24"/>
          <w:szCs w:val="24"/>
        </w:rPr>
      </w:pPr>
      <w:bookmarkStart w:id="172" w:name="_Toc152656713"/>
      <w:r>
        <w:rPr>
          <w:rFonts w:ascii="宋体" w:hAnsi="宋体" w:eastAsia="宋体" w:cs="宋体"/>
          <w:sz w:val="24"/>
          <w:szCs w:val="24"/>
        </w:rPr>
        <w:t xml:space="preserve">4. </w:t>
      </w:r>
      <w:r>
        <w:rPr>
          <w:rFonts w:hint="eastAsia" w:ascii="宋体" w:hAnsi="宋体" w:eastAsia="宋体" w:cs="宋体"/>
          <w:sz w:val="24"/>
          <w:szCs w:val="24"/>
        </w:rPr>
        <w:t>投标</w:t>
      </w:r>
      <w:bookmarkEnd w:id="169"/>
      <w:bookmarkEnd w:id="170"/>
      <w:bookmarkEnd w:id="171"/>
      <w:bookmarkEnd w:id="172"/>
    </w:p>
    <w:p w14:paraId="111402D6">
      <w:pPr>
        <w:spacing w:line="464" w:lineRule="exact"/>
        <w:rPr>
          <w:rFonts w:ascii="宋体" w:cs="宋体"/>
          <w:b/>
          <w:bCs/>
          <w:sz w:val="24"/>
          <w:szCs w:val="24"/>
        </w:rPr>
      </w:pPr>
      <w:bookmarkStart w:id="173" w:name="_Toc144974524"/>
      <w:bookmarkEnd w:id="173"/>
      <w:bookmarkStart w:id="174" w:name="_Toc152045556"/>
      <w:bookmarkEnd w:id="174"/>
      <w:bookmarkStart w:id="175" w:name="_Toc325553576"/>
      <w:bookmarkEnd w:id="175"/>
      <w:bookmarkStart w:id="176" w:name="_Toc330304883"/>
      <w:bookmarkEnd w:id="176"/>
      <w:bookmarkStart w:id="177" w:name="_Toc152042332"/>
      <w:bookmarkEnd w:id="177"/>
      <w:bookmarkStart w:id="178" w:name="_Toc18716"/>
      <w:r>
        <w:rPr>
          <w:rFonts w:ascii="宋体" w:hAnsi="宋体" w:cs="宋体"/>
          <w:b/>
          <w:bCs/>
          <w:sz w:val="24"/>
          <w:szCs w:val="24"/>
        </w:rPr>
        <w:t xml:space="preserve">4.1 </w:t>
      </w:r>
      <w:r>
        <w:rPr>
          <w:rFonts w:hint="eastAsia" w:ascii="宋体" w:hAnsi="宋体" w:cs="宋体"/>
          <w:b/>
          <w:bCs/>
          <w:sz w:val="24"/>
          <w:szCs w:val="24"/>
        </w:rPr>
        <w:t>响应文件的</w:t>
      </w:r>
      <w:bookmarkEnd w:id="178"/>
      <w:r>
        <w:rPr>
          <w:rFonts w:hint="eastAsia" w:ascii="宋体" w:hAnsi="宋体" w:cs="宋体"/>
          <w:b/>
          <w:bCs/>
          <w:sz w:val="24"/>
          <w:szCs w:val="24"/>
        </w:rPr>
        <w:t>加密</w:t>
      </w:r>
    </w:p>
    <w:p w14:paraId="47BD8B82">
      <w:pPr>
        <w:spacing w:line="464" w:lineRule="exact"/>
        <w:ind w:firstLine="482" w:firstLineChars="200"/>
        <w:rPr>
          <w:rFonts w:hint="eastAsia" w:ascii="宋体" w:hAnsi="宋体" w:cs="宋体"/>
          <w:b/>
          <w:bCs/>
          <w:sz w:val="24"/>
          <w:szCs w:val="24"/>
        </w:rPr>
      </w:pPr>
      <w:bookmarkStart w:id="179" w:name="_Toc152042333"/>
      <w:bookmarkEnd w:id="179"/>
      <w:bookmarkStart w:id="180" w:name="_Toc325553577"/>
      <w:bookmarkEnd w:id="180"/>
      <w:bookmarkStart w:id="181" w:name="_Toc330304884"/>
      <w:bookmarkEnd w:id="181"/>
      <w:bookmarkStart w:id="182" w:name="_Toc152045557"/>
      <w:bookmarkEnd w:id="182"/>
      <w:bookmarkStart w:id="183" w:name="_Toc144974525"/>
      <w:bookmarkEnd w:id="183"/>
      <w:bookmarkStart w:id="184" w:name="_Toc7419"/>
      <w:r>
        <w:rPr>
          <w:rFonts w:hint="eastAsia" w:ascii="宋体" w:hAnsi="宋体" w:cs="宋体"/>
          <w:b/>
          <w:bCs/>
          <w:sz w:val="24"/>
          <w:szCs w:val="24"/>
        </w:rPr>
        <w:t>4.1.1 网上上传的电子响应文件应使用数字证书认证并加密。</w:t>
      </w:r>
    </w:p>
    <w:p w14:paraId="4D9DC3CE">
      <w:pPr>
        <w:spacing w:line="464" w:lineRule="exact"/>
        <w:ind w:firstLine="482" w:firstLineChars="200"/>
        <w:rPr>
          <w:rFonts w:hint="eastAsia" w:ascii="宋体" w:hAnsi="宋体" w:cs="宋体"/>
          <w:b/>
          <w:bCs/>
          <w:sz w:val="24"/>
          <w:szCs w:val="24"/>
        </w:rPr>
      </w:pPr>
      <w:r>
        <w:rPr>
          <w:rFonts w:hint="eastAsia" w:ascii="宋体" w:hAnsi="宋体" w:cs="宋体"/>
          <w:b/>
          <w:bCs/>
          <w:sz w:val="24"/>
          <w:szCs w:val="24"/>
        </w:rPr>
        <w:t>4.1.2 未按要求上传加密的电子响应文件，采购人不予受理。</w:t>
      </w:r>
    </w:p>
    <w:p w14:paraId="386D9DEA">
      <w:pPr>
        <w:spacing w:line="464" w:lineRule="exact"/>
        <w:rPr>
          <w:rFonts w:ascii="宋体" w:cs="宋体"/>
          <w:b/>
          <w:bCs/>
          <w:sz w:val="24"/>
          <w:szCs w:val="24"/>
        </w:rPr>
      </w:pPr>
      <w:r>
        <w:rPr>
          <w:rFonts w:ascii="宋体" w:hAnsi="宋体" w:cs="宋体"/>
          <w:b/>
          <w:bCs/>
          <w:sz w:val="24"/>
          <w:szCs w:val="24"/>
        </w:rPr>
        <w:t xml:space="preserve">4.2 </w:t>
      </w:r>
      <w:r>
        <w:rPr>
          <w:rFonts w:hint="eastAsia" w:ascii="宋体" w:hAnsi="宋体" w:cs="宋体"/>
          <w:b/>
          <w:bCs/>
          <w:sz w:val="24"/>
          <w:szCs w:val="24"/>
        </w:rPr>
        <w:t>响应文件的递交</w:t>
      </w:r>
      <w:bookmarkEnd w:id="184"/>
    </w:p>
    <w:p w14:paraId="604FD8F2">
      <w:pPr>
        <w:autoSpaceDE w:val="0"/>
        <w:spacing w:line="464" w:lineRule="exact"/>
        <w:ind w:firstLine="480" w:firstLineChars="200"/>
        <w:rPr>
          <w:rFonts w:hint="eastAsia" w:cs="宋体" w:asciiTheme="minorEastAsia" w:hAnsiTheme="minorEastAsia" w:eastAsiaTheme="minorEastAsia"/>
          <w:sz w:val="24"/>
          <w:szCs w:val="24"/>
        </w:rPr>
      </w:pPr>
      <w:bookmarkStart w:id="185" w:name="_Toc152042334"/>
      <w:bookmarkEnd w:id="185"/>
      <w:bookmarkStart w:id="186" w:name="_Toc152045558"/>
      <w:bookmarkEnd w:id="186"/>
      <w:bookmarkStart w:id="187" w:name="_Toc144974526"/>
      <w:bookmarkEnd w:id="187"/>
      <w:bookmarkStart w:id="188" w:name="_Toc330304885"/>
      <w:bookmarkEnd w:id="188"/>
      <w:bookmarkStart w:id="189" w:name="_Toc325553578"/>
      <w:bookmarkEnd w:id="189"/>
      <w:bookmarkStart w:id="190" w:name="_Toc19898"/>
      <w:r>
        <w:rPr>
          <w:rFonts w:hint="eastAsia" w:cs="宋体" w:asciiTheme="minorEastAsia" w:hAnsiTheme="minorEastAsia" w:eastAsiaTheme="minorEastAsia"/>
          <w:sz w:val="24"/>
          <w:szCs w:val="24"/>
        </w:rPr>
        <w:t>4.2.1</w:t>
      </w:r>
      <w:r>
        <w:rPr>
          <w:rFonts w:ascii="宋体" w:hAnsi="宋体" w:cs="宋体"/>
          <w:sz w:val="24"/>
          <w:szCs w:val="24"/>
        </w:rPr>
        <w:t>本项目采用“远程不见面”开标方式</w:t>
      </w:r>
      <w:r>
        <w:rPr>
          <w:rFonts w:hint="eastAsia" w:cs="宋体" w:asciiTheme="minorEastAsia" w:hAnsiTheme="minorEastAsia" w:eastAsiaTheme="minorEastAsia"/>
          <w:sz w:val="24"/>
          <w:szCs w:val="24"/>
        </w:rPr>
        <w:t>，供应商只须递交电子响应文件，无须递交纸质版响应文件</w:t>
      </w:r>
      <w:r>
        <w:rPr>
          <w:rFonts w:ascii="宋体" w:hAnsi="宋体" w:cs="宋体"/>
          <w:sz w:val="24"/>
          <w:szCs w:val="24"/>
        </w:rPr>
        <w:t>和未加密的电子响应文件</w:t>
      </w:r>
      <w:r>
        <w:rPr>
          <w:rFonts w:hint="eastAsia" w:cs="宋体" w:asciiTheme="minorEastAsia" w:hAnsiTheme="minorEastAsia" w:eastAsiaTheme="minorEastAsia"/>
          <w:sz w:val="24"/>
          <w:szCs w:val="24"/>
        </w:rPr>
        <w:t>。</w:t>
      </w:r>
    </w:p>
    <w:p w14:paraId="7242ABEE">
      <w:pPr>
        <w:autoSpaceDE w:val="0"/>
        <w:spacing w:line="464"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4.2.2 供应商应在规定的磋商截止时间前，通过互联网使用 CA 数字证书登录“新郑市公共资源交易中心”系统，将加密的响应文件上传，并保存上传成功后系统自动生成的电子签收凭证，递交时间即为电子签收凭证时间。供应商应充分考虑上传文件时的不可预见因素，未在磋商截止时间前完成上传的，视为逾期上传，采购人（“新郑市公共资源交易中心”系统）将拒绝接收。</w:t>
      </w:r>
    </w:p>
    <w:p w14:paraId="02CAB882">
      <w:pPr>
        <w:autoSpaceDE w:val="0"/>
        <w:spacing w:line="464"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4.2.3 </w:t>
      </w:r>
      <w:r>
        <w:rPr>
          <w:rFonts w:ascii="宋体" w:hAnsi="宋体" w:cs="宋体"/>
          <w:sz w:val="24"/>
          <w:szCs w:val="24"/>
        </w:rPr>
        <w:t>由于不可抗拒的原因，招标代理机构对响应文件的遗失和损坏不负任何责任。</w:t>
      </w:r>
    </w:p>
    <w:p w14:paraId="36150E32">
      <w:pPr>
        <w:autoSpaceDE w:val="0"/>
        <w:spacing w:line="464"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4.2.4 除供应商须知前附表另有规定外，供应商所递交的响应文件不予退还。</w:t>
      </w:r>
    </w:p>
    <w:p w14:paraId="60CE6C21">
      <w:pPr>
        <w:autoSpaceDE w:val="0"/>
        <w:spacing w:line="464"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4.2.5 在特殊情况下，采购人如果决定延后递交响应文件截止期，至少应在原定的磋商截止期前 2 天，将此决定通过“新郑市公共资源交易中心”系统发出。在此情况下，采购人和供应商的权利和义务相应延后至新的磋商截止期。</w:t>
      </w:r>
    </w:p>
    <w:p w14:paraId="6A172845">
      <w:pPr>
        <w:spacing w:line="464" w:lineRule="exact"/>
        <w:rPr>
          <w:rFonts w:ascii="宋体" w:cs="宋体"/>
          <w:b/>
          <w:bCs/>
          <w:sz w:val="24"/>
          <w:szCs w:val="24"/>
        </w:rPr>
      </w:pPr>
      <w:r>
        <w:rPr>
          <w:rFonts w:ascii="宋体" w:hAnsi="宋体" w:cs="宋体"/>
          <w:b/>
          <w:bCs/>
          <w:sz w:val="24"/>
          <w:szCs w:val="24"/>
        </w:rPr>
        <w:t xml:space="preserve">4.3 </w:t>
      </w:r>
      <w:r>
        <w:rPr>
          <w:rFonts w:hint="eastAsia" w:ascii="宋体" w:hAnsi="宋体" w:cs="宋体"/>
          <w:b/>
          <w:bCs/>
          <w:sz w:val="24"/>
          <w:szCs w:val="24"/>
        </w:rPr>
        <w:t>响应文件的修改与撤回</w:t>
      </w:r>
      <w:bookmarkEnd w:id="190"/>
    </w:p>
    <w:p w14:paraId="1570C9B1">
      <w:pPr>
        <w:autoSpaceDE w:val="0"/>
        <w:spacing w:line="464" w:lineRule="exact"/>
        <w:ind w:firstLine="480" w:firstLineChars="200"/>
        <w:rPr>
          <w:rFonts w:ascii="宋体" w:cs="宋体"/>
          <w:sz w:val="24"/>
          <w:szCs w:val="24"/>
        </w:rPr>
      </w:pPr>
      <w:bookmarkStart w:id="191" w:name="_Toc330304886"/>
      <w:bookmarkEnd w:id="191"/>
      <w:bookmarkStart w:id="192" w:name="_Toc152045559"/>
      <w:bookmarkEnd w:id="192"/>
      <w:bookmarkStart w:id="193" w:name="_Toc144974527"/>
      <w:bookmarkEnd w:id="193"/>
      <w:bookmarkStart w:id="194" w:name="_Toc152042335"/>
      <w:bookmarkEnd w:id="194"/>
      <w:bookmarkStart w:id="195" w:name="_Toc9909_WPSOffice_Level2"/>
      <w:bookmarkStart w:id="196" w:name="_Toc2362"/>
      <w:bookmarkStart w:id="197" w:name="_Toc12667_WPSOffice_Level2"/>
      <w:bookmarkStart w:id="198" w:name="_Toc9818"/>
      <w:r>
        <w:rPr>
          <w:rFonts w:ascii="宋体" w:hAnsi="宋体" w:cs="宋体"/>
          <w:sz w:val="24"/>
          <w:szCs w:val="24"/>
        </w:rPr>
        <w:t xml:space="preserve">4.3.1 </w:t>
      </w:r>
      <w:r>
        <w:rPr>
          <w:rFonts w:hint="eastAsia" w:ascii="宋体" w:hAnsi="宋体" w:cs="宋体"/>
          <w:sz w:val="24"/>
          <w:szCs w:val="24"/>
        </w:rPr>
        <w:t>在磋商截止时间前，供应商可以修改或撤回已递交的响应文件，供应商对加密的响应文件进行撤回的，应在“新郑市公共资源交易中心”系统直接进行撤回操作；供应商对加密的响应文件进行修改的，应在磋商截止时间前完成上传。</w:t>
      </w:r>
    </w:p>
    <w:p w14:paraId="22F650FC">
      <w:pPr>
        <w:autoSpaceDE w:val="0"/>
        <w:spacing w:line="464" w:lineRule="exact"/>
        <w:ind w:firstLine="480" w:firstLineChars="200"/>
        <w:rPr>
          <w:rFonts w:ascii="宋体" w:cs="宋体"/>
          <w:sz w:val="24"/>
          <w:szCs w:val="24"/>
        </w:rPr>
      </w:pPr>
      <w:r>
        <w:rPr>
          <w:rFonts w:ascii="宋体" w:hAnsi="宋体" w:cs="宋体"/>
          <w:sz w:val="24"/>
          <w:szCs w:val="24"/>
        </w:rPr>
        <w:t xml:space="preserve">4.3.2 </w:t>
      </w:r>
      <w:r>
        <w:rPr>
          <w:rFonts w:hint="eastAsia" w:ascii="宋体" w:hAnsi="宋体" w:cs="宋体"/>
          <w:sz w:val="24"/>
          <w:szCs w:val="24"/>
        </w:rPr>
        <w:t>供应商修改响应文件的，应使用“投标文件制作工具”制作成完整的响应文件，并按照本章第</w:t>
      </w:r>
      <w:r>
        <w:rPr>
          <w:rFonts w:ascii="宋体" w:hAnsi="宋体" w:cs="宋体"/>
          <w:sz w:val="24"/>
          <w:szCs w:val="24"/>
        </w:rPr>
        <w:t xml:space="preserve"> 3</w:t>
      </w:r>
      <w:r>
        <w:rPr>
          <w:rFonts w:hint="eastAsia" w:ascii="宋体" w:hAnsi="宋体" w:cs="宋体"/>
          <w:sz w:val="24"/>
          <w:szCs w:val="24"/>
        </w:rPr>
        <w:t>条、第</w:t>
      </w:r>
      <w:r>
        <w:rPr>
          <w:rFonts w:ascii="宋体" w:hAnsi="宋体" w:cs="宋体"/>
          <w:sz w:val="24"/>
          <w:szCs w:val="24"/>
        </w:rPr>
        <w:t xml:space="preserve"> 4 </w:t>
      </w:r>
      <w:r>
        <w:rPr>
          <w:rFonts w:hint="eastAsia" w:ascii="宋体" w:hAnsi="宋体" w:cs="宋体"/>
          <w:sz w:val="24"/>
          <w:szCs w:val="24"/>
        </w:rPr>
        <w:t>条规定进行编制、加密和递交。对采用网上递交的加密的响应文件，以磋商截止时间前最后完成上传的文件为准。</w:t>
      </w:r>
    </w:p>
    <w:p w14:paraId="5E8DAA89">
      <w:pPr>
        <w:pStyle w:val="3"/>
        <w:spacing w:line="464" w:lineRule="exact"/>
        <w:rPr>
          <w:rFonts w:hint="eastAsia" w:ascii="宋体" w:hAnsi="宋体" w:eastAsia="宋体"/>
          <w:sz w:val="24"/>
          <w:szCs w:val="24"/>
        </w:rPr>
      </w:pPr>
      <w:bookmarkStart w:id="199" w:name="_Toc152656714"/>
      <w:r>
        <w:rPr>
          <w:rFonts w:ascii="宋体" w:hAnsi="宋体" w:eastAsia="宋体" w:cs="宋体"/>
          <w:sz w:val="24"/>
          <w:szCs w:val="24"/>
        </w:rPr>
        <w:t xml:space="preserve">5. </w:t>
      </w:r>
      <w:r>
        <w:rPr>
          <w:rFonts w:hint="eastAsia" w:ascii="宋体" w:hAnsi="宋体" w:eastAsia="宋体" w:cs="宋体"/>
          <w:sz w:val="24"/>
          <w:szCs w:val="24"/>
        </w:rPr>
        <w:t>开标</w:t>
      </w:r>
      <w:bookmarkEnd w:id="195"/>
      <w:bookmarkEnd w:id="196"/>
      <w:bookmarkEnd w:id="197"/>
      <w:bookmarkEnd w:id="198"/>
      <w:bookmarkEnd w:id="199"/>
    </w:p>
    <w:p w14:paraId="7BD4458C">
      <w:pPr>
        <w:spacing w:line="464" w:lineRule="exact"/>
        <w:rPr>
          <w:rFonts w:ascii="宋体" w:cs="宋体"/>
          <w:b/>
          <w:bCs/>
          <w:sz w:val="24"/>
          <w:szCs w:val="24"/>
        </w:rPr>
      </w:pPr>
      <w:bookmarkStart w:id="200" w:name="_Toc330304887"/>
      <w:bookmarkEnd w:id="200"/>
      <w:bookmarkStart w:id="201" w:name="_Toc144974528"/>
      <w:bookmarkEnd w:id="201"/>
      <w:bookmarkStart w:id="202" w:name="_Toc152042336"/>
      <w:bookmarkEnd w:id="202"/>
      <w:bookmarkStart w:id="203" w:name="_Toc152045560"/>
      <w:bookmarkEnd w:id="203"/>
      <w:bookmarkStart w:id="204" w:name="_Toc325553580"/>
      <w:bookmarkEnd w:id="204"/>
      <w:bookmarkStart w:id="205" w:name="_Toc19473"/>
      <w:r>
        <w:rPr>
          <w:rFonts w:ascii="宋体" w:hAnsi="宋体" w:cs="宋体"/>
          <w:b/>
          <w:bCs/>
          <w:sz w:val="24"/>
          <w:szCs w:val="24"/>
        </w:rPr>
        <w:t xml:space="preserve">5.1 </w:t>
      </w:r>
      <w:r>
        <w:rPr>
          <w:rFonts w:hint="eastAsia" w:ascii="宋体" w:hAnsi="宋体" w:cs="宋体"/>
          <w:b/>
          <w:bCs/>
          <w:sz w:val="24"/>
          <w:szCs w:val="24"/>
        </w:rPr>
        <w:t>开标时间和地点</w:t>
      </w:r>
      <w:bookmarkEnd w:id="205"/>
    </w:p>
    <w:p w14:paraId="197D0EC3">
      <w:pPr>
        <w:spacing w:line="464" w:lineRule="exact"/>
        <w:ind w:firstLine="480" w:firstLineChars="200"/>
        <w:jc w:val="left"/>
        <w:rPr>
          <w:rFonts w:hint="eastAsia" w:ascii="宋体" w:hAnsi="宋体" w:cs="宋体"/>
          <w:sz w:val="24"/>
          <w:szCs w:val="24"/>
        </w:rPr>
      </w:pPr>
      <w:bookmarkStart w:id="206" w:name="_Toc152045561"/>
      <w:bookmarkEnd w:id="206"/>
      <w:bookmarkStart w:id="207" w:name="_Toc325553581"/>
      <w:bookmarkEnd w:id="207"/>
      <w:bookmarkStart w:id="208" w:name="_Toc144974529"/>
      <w:bookmarkEnd w:id="208"/>
      <w:bookmarkStart w:id="209" w:name="_Toc152042337"/>
      <w:bookmarkEnd w:id="209"/>
      <w:r>
        <w:rPr>
          <w:rFonts w:hint="eastAsia" w:ascii="宋体" w:hAnsi="宋体" w:cs="宋体"/>
          <w:sz w:val="24"/>
          <w:szCs w:val="24"/>
        </w:rPr>
        <w:t>采购人在供应商须知前附表规定的磋商截止时间（开标时间）和供应商须知前附表规定的地点公开开标。</w:t>
      </w:r>
      <w:r>
        <w:rPr>
          <w:rFonts w:ascii="宋体" w:hAnsi="宋体" w:cs="宋体"/>
          <w:sz w:val="24"/>
          <w:szCs w:val="24"/>
        </w:rPr>
        <w:t>出现特殊情况需要更改时间 和地点的，招标代理机构应当按规定在开标前通知各供应商；磋商小组成员不得参加开标活动。</w:t>
      </w:r>
    </w:p>
    <w:p w14:paraId="6DAC0EE7">
      <w:pPr>
        <w:spacing w:line="464" w:lineRule="exact"/>
        <w:ind w:firstLine="480" w:firstLineChars="200"/>
        <w:jc w:val="left"/>
        <w:rPr>
          <w:rFonts w:hint="eastAsia" w:ascii="宋体" w:hAnsi="宋体" w:cs="宋体"/>
          <w:sz w:val="24"/>
          <w:szCs w:val="24"/>
        </w:rPr>
      </w:pPr>
      <w:r>
        <w:rPr>
          <w:rFonts w:ascii="宋体" w:hAnsi="宋体" w:cs="宋体"/>
          <w:sz w:val="24"/>
          <w:szCs w:val="24"/>
        </w:rPr>
        <w:t>供应商应在</w:t>
      </w:r>
      <w:r>
        <w:rPr>
          <w:rFonts w:hint="eastAsia" w:hAnsi="宋体" w:cs="宋体"/>
          <w:sz w:val="24"/>
          <w:szCs w:val="24"/>
        </w:rPr>
        <w:t>竞争性磋商文件</w:t>
      </w:r>
      <w:r>
        <w:rPr>
          <w:rFonts w:ascii="宋体" w:hAnsi="宋体" w:cs="宋体"/>
          <w:sz w:val="24"/>
          <w:szCs w:val="24"/>
        </w:rPr>
        <w:t>确定的</w:t>
      </w:r>
      <w:r>
        <w:rPr>
          <w:rFonts w:hint="eastAsia" w:ascii="宋体" w:hAnsi="宋体" w:cs="宋体"/>
          <w:sz w:val="24"/>
          <w:szCs w:val="24"/>
        </w:rPr>
        <w:t>磋商</w:t>
      </w:r>
      <w:r>
        <w:rPr>
          <w:rFonts w:ascii="宋体" w:hAnsi="宋体" w:cs="宋体"/>
          <w:sz w:val="24"/>
          <w:szCs w:val="24"/>
        </w:rPr>
        <w:t>截止时间前，通过 PC 登录新郑市公共资源交易中心网站，进入不见面开标大厅(详见新郑市公共资源交易中心网站--办事指南--服务指南《新郑市公共资源交易中心不见面 开标操作说明》)。</w:t>
      </w:r>
    </w:p>
    <w:p w14:paraId="7CC4995E">
      <w:pPr>
        <w:spacing w:line="464" w:lineRule="exact"/>
        <w:rPr>
          <w:rFonts w:ascii="宋体" w:cs="宋体"/>
          <w:b/>
          <w:bCs/>
          <w:sz w:val="24"/>
          <w:szCs w:val="24"/>
        </w:rPr>
      </w:pPr>
      <w:bookmarkStart w:id="210" w:name="_Toc15260"/>
      <w:bookmarkEnd w:id="210"/>
      <w:r>
        <w:rPr>
          <w:rFonts w:ascii="宋体" w:hAnsi="宋体" w:cs="宋体"/>
          <w:b/>
          <w:bCs/>
          <w:sz w:val="24"/>
          <w:szCs w:val="24"/>
        </w:rPr>
        <w:t xml:space="preserve">5.2 </w:t>
      </w:r>
      <w:r>
        <w:rPr>
          <w:rFonts w:hint="eastAsia" w:ascii="宋体" w:hAnsi="宋体" w:cs="宋体"/>
          <w:b/>
          <w:bCs/>
          <w:sz w:val="24"/>
          <w:szCs w:val="24"/>
        </w:rPr>
        <w:t>开标程序</w:t>
      </w:r>
    </w:p>
    <w:p w14:paraId="1D3CA941">
      <w:pPr>
        <w:spacing w:line="464" w:lineRule="exact"/>
        <w:ind w:firstLine="480" w:firstLineChars="200"/>
        <w:rPr>
          <w:rFonts w:ascii="宋体" w:cs="宋体"/>
          <w:sz w:val="24"/>
          <w:szCs w:val="24"/>
        </w:rPr>
      </w:pPr>
      <w:r>
        <w:rPr>
          <w:rFonts w:hint="eastAsia" w:ascii="宋体" w:hAnsi="宋体" w:cs="宋体"/>
          <w:sz w:val="24"/>
          <w:szCs w:val="24"/>
        </w:rPr>
        <w:t>主持人按下列程序进行开标：</w:t>
      </w:r>
    </w:p>
    <w:p w14:paraId="3B35F110">
      <w:pPr>
        <w:spacing w:line="464" w:lineRule="exact"/>
        <w:ind w:firstLine="480" w:firstLineChars="200"/>
        <w:rPr>
          <w:rFonts w:hint="eastAsia" w:ascii="宋体" w:hAnsi="宋体" w:cs="宋体"/>
          <w:sz w:val="24"/>
          <w:szCs w:val="24"/>
        </w:rPr>
      </w:pPr>
      <w:r>
        <w:rPr>
          <w:rFonts w:hint="eastAsia" w:ascii="宋体" w:hAnsi="宋体" w:cs="宋体"/>
          <w:sz w:val="24"/>
          <w:szCs w:val="24"/>
        </w:rPr>
        <w:t>（1）宣布开标纪律；</w:t>
      </w:r>
    </w:p>
    <w:p w14:paraId="1F6DD379">
      <w:pPr>
        <w:spacing w:line="464" w:lineRule="exact"/>
        <w:ind w:firstLine="480" w:firstLineChars="200"/>
        <w:rPr>
          <w:rFonts w:hint="eastAsia" w:ascii="宋体" w:hAnsi="宋体" w:cs="宋体"/>
          <w:sz w:val="24"/>
          <w:szCs w:val="24"/>
        </w:rPr>
      </w:pPr>
      <w:r>
        <w:rPr>
          <w:rFonts w:hint="eastAsia" w:ascii="宋体" w:hAnsi="宋体" w:cs="宋体"/>
          <w:sz w:val="24"/>
          <w:szCs w:val="24"/>
        </w:rPr>
        <w:t>（2）使用电子评标方式评标的，按规定对加密响应文件予以解密；</w:t>
      </w:r>
    </w:p>
    <w:p w14:paraId="53568892">
      <w:pPr>
        <w:spacing w:line="464" w:lineRule="exact"/>
        <w:ind w:firstLine="480" w:firstLineChars="200"/>
        <w:rPr>
          <w:rFonts w:hint="eastAsia" w:ascii="宋体" w:hAnsi="宋体" w:cs="宋体"/>
          <w:sz w:val="24"/>
          <w:szCs w:val="24"/>
        </w:rPr>
      </w:pPr>
      <w:r>
        <w:rPr>
          <w:rFonts w:hint="eastAsia" w:ascii="宋体" w:hAnsi="宋体" w:cs="宋体"/>
          <w:sz w:val="24"/>
          <w:szCs w:val="24"/>
        </w:rPr>
        <w:t>（3）对解密后的电子响应文件进行唱标；</w:t>
      </w:r>
    </w:p>
    <w:p w14:paraId="39C22B0C">
      <w:pPr>
        <w:spacing w:line="464" w:lineRule="exact"/>
        <w:ind w:firstLine="480" w:firstLineChars="200"/>
        <w:rPr>
          <w:rFonts w:hint="eastAsia" w:ascii="宋体" w:hAnsi="宋体" w:cs="宋体"/>
          <w:sz w:val="24"/>
          <w:szCs w:val="24"/>
        </w:rPr>
      </w:pPr>
      <w:r>
        <w:rPr>
          <w:rFonts w:hint="eastAsia" w:ascii="宋体" w:hAnsi="宋体" w:cs="宋体"/>
          <w:sz w:val="24"/>
          <w:szCs w:val="24"/>
        </w:rPr>
        <w:t>（4）开标结束。</w:t>
      </w:r>
    </w:p>
    <w:p w14:paraId="68FA3550">
      <w:pPr>
        <w:spacing w:line="464" w:lineRule="exact"/>
        <w:rPr>
          <w:rFonts w:ascii="宋体" w:cs="宋体"/>
          <w:b/>
          <w:bCs/>
          <w:sz w:val="24"/>
          <w:szCs w:val="24"/>
        </w:rPr>
      </w:pPr>
      <w:r>
        <w:rPr>
          <w:rFonts w:ascii="宋体" w:hAnsi="宋体" w:cs="宋体"/>
          <w:b/>
          <w:bCs/>
          <w:sz w:val="24"/>
          <w:szCs w:val="24"/>
        </w:rPr>
        <w:t>5.3</w:t>
      </w:r>
      <w:r>
        <w:rPr>
          <w:rFonts w:hint="eastAsia" w:ascii="宋体" w:hAnsi="宋体" w:cs="宋体"/>
          <w:b/>
          <w:bCs/>
          <w:sz w:val="24"/>
          <w:szCs w:val="24"/>
        </w:rPr>
        <w:t>开标时，需遵循以下要求进行：</w:t>
      </w:r>
    </w:p>
    <w:p w14:paraId="61DC229D">
      <w:pPr>
        <w:spacing w:line="464"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5.3.1电子评标时，因电子交易系统异常无法解密电子响应文件的，及时与招标代理联系。</w:t>
      </w:r>
    </w:p>
    <w:p w14:paraId="5528D818">
      <w:pPr>
        <w:spacing w:line="464"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5.3.2因供应商原因电子响应文件解密失败的，其投标将被拒绝。</w:t>
      </w:r>
    </w:p>
    <w:p w14:paraId="1AF7029D">
      <w:pPr>
        <w:spacing w:line="464"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5.3.3供应商不足三家的，不得开标。</w:t>
      </w:r>
    </w:p>
    <w:p w14:paraId="112BF81C">
      <w:pPr>
        <w:spacing w:line="464"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5.3.4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5EDA110D">
      <w:pPr>
        <w:spacing w:line="464"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5.3.4</w:t>
      </w:r>
      <w:r>
        <w:rPr>
          <w:rFonts w:ascii="宋体" w:hAnsi="宋体" w:cs="宋体"/>
          <w:sz w:val="24"/>
          <w:szCs w:val="24"/>
        </w:rPr>
        <w:t xml:space="preserve">供应商未参加开标的，视同认可开标结果。 </w:t>
      </w:r>
    </w:p>
    <w:p w14:paraId="6ECD197B">
      <w:pPr>
        <w:spacing w:line="464" w:lineRule="exact"/>
        <w:rPr>
          <w:rFonts w:ascii="宋体" w:cs="宋体"/>
          <w:b/>
          <w:bCs/>
          <w:sz w:val="24"/>
          <w:szCs w:val="24"/>
        </w:rPr>
      </w:pPr>
      <w:r>
        <w:rPr>
          <w:rFonts w:ascii="宋体" w:hAnsi="宋体" w:cs="宋体"/>
          <w:b/>
          <w:bCs/>
          <w:sz w:val="24"/>
          <w:szCs w:val="24"/>
        </w:rPr>
        <w:t>5.4</w:t>
      </w:r>
      <w:r>
        <w:rPr>
          <w:rFonts w:hint="eastAsia" w:ascii="宋体" w:hAnsi="宋体" w:cs="宋体"/>
          <w:b/>
          <w:bCs/>
          <w:sz w:val="24"/>
          <w:szCs w:val="24"/>
        </w:rPr>
        <w:t>开标时出现下列情况的，采购人将拒绝其开标。</w:t>
      </w:r>
    </w:p>
    <w:p w14:paraId="4D5763E4">
      <w:pPr>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）经检查数字证书无效的响应文件；</w:t>
      </w:r>
    </w:p>
    <w:p w14:paraId="2CA0045C">
      <w:pPr>
        <w:spacing w:line="464" w:lineRule="exact"/>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）供应商未按供应商须知表</w:t>
      </w:r>
      <w:r>
        <w:rPr>
          <w:rFonts w:ascii="宋体" w:hAnsi="宋体" w:cs="宋体"/>
          <w:sz w:val="24"/>
          <w:szCs w:val="24"/>
        </w:rPr>
        <w:t>5.1</w:t>
      </w:r>
      <w:r>
        <w:rPr>
          <w:rFonts w:hint="eastAsia" w:ascii="宋体" w:hAnsi="宋体" w:cs="宋体"/>
          <w:sz w:val="24"/>
          <w:szCs w:val="24"/>
        </w:rPr>
        <w:t>项规定的时间内解密响应文件的。</w:t>
      </w:r>
    </w:p>
    <w:p w14:paraId="11D411CB">
      <w:pPr>
        <w:spacing w:line="464" w:lineRule="exact"/>
        <w:ind w:firstLine="480" w:firstLineChars="200"/>
        <w:rPr>
          <w:rFonts w:hint="eastAsia" w:ascii="宋体" w:hAnsi="宋体" w:cs="宋体"/>
          <w:sz w:val="24"/>
          <w:szCs w:val="24"/>
        </w:rPr>
      </w:pPr>
      <w:r>
        <w:rPr>
          <w:rFonts w:ascii="宋体" w:hAnsi="宋体" w:cs="宋体"/>
          <w:sz w:val="24"/>
          <w:szCs w:val="24"/>
        </w:rPr>
        <w:t>（3）供应商未按时参加开标会的。</w:t>
      </w:r>
    </w:p>
    <w:p w14:paraId="0FBB6075">
      <w:pPr>
        <w:spacing w:line="464" w:lineRule="exact"/>
        <w:rPr>
          <w:rFonts w:ascii="宋体" w:cs="宋体"/>
          <w:b/>
          <w:bCs/>
          <w:sz w:val="24"/>
          <w:szCs w:val="24"/>
        </w:rPr>
      </w:pPr>
      <w:r>
        <w:rPr>
          <w:rFonts w:ascii="宋体" w:hAnsi="宋体" w:cs="宋体"/>
          <w:b/>
          <w:bCs/>
          <w:sz w:val="24"/>
          <w:szCs w:val="24"/>
        </w:rPr>
        <w:t>5.5</w:t>
      </w:r>
      <w:r>
        <w:rPr>
          <w:rFonts w:hint="eastAsia" w:ascii="宋体" w:hAnsi="宋体" w:cs="宋体"/>
          <w:b/>
          <w:bCs/>
          <w:sz w:val="24"/>
          <w:szCs w:val="24"/>
        </w:rPr>
        <w:t>开标异议</w:t>
      </w:r>
    </w:p>
    <w:p w14:paraId="22701577">
      <w:pPr>
        <w:spacing w:line="464" w:lineRule="exact"/>
        <w:ind w:firstLine="480" w:firstLineChars="200"/>
        <w:rPr>
          <w:rFonts w:ascii="宋体" w:cs="宋体"/>
          <w:sz w:val="24"/>
          <w:szCs w:val="24"/>
        </w:rPr>
      </w:pPr>
      <w:r>
        <w:rPr>
          <w:rFonts w:hint="eastAsia" w:ascii="宋体" w:hAnsi="宋体" w:cs="宋体"/>
          <w:sz w:val="24"/>
          <w:szCs w:val="24"/>
        </w:rPr>
        <w:t>供应商对开标有异议的，应当在开标时段提出，采购人当场做出答复，并制作记录。</w:t>
      </w:r>
    </w:p>
    <w:p w14:paraId="40F4291B">
      <w:pPr>
        <w:pStyle w:val="58"/>
        <w:spacing w:line="464" w:lineRule="exact"/>
        <w:rPr>
          <w:rFonts w:ascii="宋体" w:cs="宋体"/>
          <w:b/>
          <w:bCs/>
          <w:color w:val="auto"/>
        </w:rPr>
      </w:pPr>
      <w:r>
        <w:rPr>
          <w:rFonts w:ascii="宋体" w:hAnsi="宋体" w:cs="宋体"/>
          <w:b/>
          <w:bCs/>
          <w:color w:val="auto"/>
        </w:rPr>
        <w:t xml:space="preserve">5.6 </w:t>
      </w:r>
      <w:r>
        <w:rPr>
          <w:rFonts w:hint="eastAsia" w:ascii="宋体" w:hAnsi="宋体" w:cs="宋体"/>
          <w:b/>
          <w:bCs/>
          <w:color w:val="auto"/>
        </w:rPr>
        <w:t>资格审查</w:t>
      </w:r>
    </w:p>
    <w:p w14:paraId="71D9D775">
      <w:pPr>
        <w:spacing w:line="464" w:lineRule="exact"/>
        <w:ind w:firstLine="480" w:firstLineChars="200"/>
        <w:rPr>
          <w:rFonts w:ascii="宋体" w:cs="宋体"/>
          <w:sz w:val="24"/>
          <w:szCs w:val="24"/>
        </w:rPr>
      </w:pPr>
      <w:r>
        <w:rPr>
          <w:rFonts w:ascii="宋体" w:hAnsi="宋体" w:cs="宋体"/>
          <w:sz w:val="24"/>
          <w:szCs w:val="24"/>
        </w:rPr>
        <w:t>5.6.1</w:t>
      </w:r>
      <w:r>
        <w:rPr>
          <w:rFonts w:hint="eastAsia" w:ascii="宋体" w:hAnsi="宋体" w:cs="宋体"/>
          <w:sz w:val="24"/>
          <w:szCs w:val="24"/>
        </w:rPr>
        <w:t>资格审查资料须按规定提供。</w:t>
      </w:r>
    </w:p>
    <w:p w14:paraId="4D2B9DDD">
      <w:pPr>
        <w:spacing w:line="464" w:lineRule="exact"/>
        <w:ind w:firstLine="480" w:firstLineChars="200"/>
        <w:rPr>
          <w:rFonts w:hint="eastAsia" w:ascii="宋体" w:hAnsi="宋体" w:cs="宋体"/>
          <w:sz w:val="24"/>
          <w:szCs w:val="24"/>
        </w:rPr>
      </w:pPr>
      <w:r>
        <w:rPr>
          <w:rFonts w:ascii="宋体" w:hAnsi="宋体" w:cs="宋体"/>
          <w:sz w:val="24"/>
          <w:szCs w:val="24"/>
        </w:rPr>
        <w:t>5.6.2</w:t>
      </w:r>
      <w:r>
        <w:rPr>
          <w:rFonts w:hint="eastAsia" w:ascii="宋体" w:hAnsi="宋体" w:cs="宋体"/>
          <w:sz w:val="24"/>
          <w:szCs w:val="24"/>
        </w:rPr>
        <w:t>由磋商小组依法对供应商的资格进行审查。合格供应商不足</w:t>
      </w:r>
      <w:r>
        <w:rPr>
          <w:rFonts w:ascii="宋体" w:hAnsi="宋体" w:cs="宋体"/>
          <w:sz w:val="24"/>
          <w:szCs w:val="24"/>
        </w:rPr>
        <w:t xml:space="preserve"> 3 </w:t>
      </w:r>
      <w:r>
        <w:rPr>
          <w:rFonts w:hint="eastAsia" w:ascii="宋体" w:hAnsi="宋体" w:cs="宋体"/>
          <w:sz w:val="24"/>
          <w:szCs w:val="24"/>
        </w:rPr>
        <w:t>家的，不得评标。</w:t>
      </w:r>
      <w:r>
        <w:rPr>
          <w:rFonts w:ascii="宋体" w:hAnsi="宋体" w:cs="宋体"/>
          <w:sz w:val="24"/>
          <w:szCs w:val="24"/>
        </w:rPr>
        <w:t xml:space="preserve">未通过资格审查的供应商不能进入评标，其投标将被认定为投标无效；通过资格审查的供应商不足 3 家的，不得评标。 </w:t>
      </w:r>
    </w:p>
    <w:p w14:paraId="1D53F297">
      <w:pPr>
        <w:spacing w:line="464" w:lineRule="exact"/>
        <w:ind w:firstLine="480" w:firstLineChars="200"/>
        <w:rPr>
          <w:rFonts w:ascii="宋体" w:cs="宋体"/>
          <w:sz w:val="24"/>
          <w:szCs w:val="24"/>
        </w:rPr>
      </w:pPr>
      <w:r>
        <w:rPr>
          <w:rFonts w:hint="eastAsia" w:ascii="宋体" w:hAnsi="宋体" w:cs="宋体"/>
          <w:sz w:val="24"/>
          <w:szCs w:val="24"/>
        </w:rPr>
        <w:t>5.</w:t>
      </w:r>
      <w:r>
        <w:rPr>
          <w:rFonts w:ascii="宋体" w:hAnsi="宋体" w:cs="宋体"/>
          <w:sz w:val="24"/>
          <w:szCs w:val="24"/>
        </w:rPr>
        <w:t xml:space="preserve">6.3 采购人或采购代理机构将在开、评标期间内查询供应商的信用记录。供应商存在不良信用记录的，或者响应文件封装资料与现场查询结果不一致的，以现场查询为准。 </w:t>
      </w:r>
    </w:p>
    <w:p w14:paraId="388E5363">
      <w:pPr>
        <w:pStyle w:val="3"/>
        <w:spacing w:line="464" w:lineRule="exact"/>
        <w:rPr>
          <w:rFonts w:hint="eastAsia" w:ascii="宋体" w:hAnsi="宋体" w:eastAsia="宋体"/>
          <w:sz w:val="24"/>
          <w:szCs w:val="24"/>
        </w:rPr>
      </w:pPr>
      <w:bookmarkStart w:id="211" w:name="_Toc330304889"/>
      <w:bookmarkEnd w:id="211"/>
      <w:bookmarkStart w:id="212" w:name="_Toc144974530"/>
      <w:bookmarkEnd w:id="212"/>
      <w:bookmarkStart w:id="213" w:name="_Toc152045562"/>
      <w:bookmarkEnd w:id="213"/>
      <w:bookmarkStart w:id="214" w:name="_Toc152042338"/>
      <w:bookmarkEnd w:id="214"/>
      <w:bookmarkStart w:id="215" w:name="_Toc15513"/>
      <w:bookmarkStart w:id="216" w:name="_Toc4638"/>
      <w:bookmarkStart w:id="217" w:name="_Toc11179_WPSOffice_Level2"/>
      <w:bookmarkStart w:id="218" w:name="_Toc10982_WPSOffice_Level2"/>
      <w:bookmarkStart w:id="219" w:name="_Toc152656715"/>
      <w:r>
        <w:rPr>
          <w:rFonts w:ascii="宋体" w:hAnsi="宋体" w:eastAsia="宋体" w:cs="宋体"/>
          <w:sz w:val="24"/>
          <w:szCs w:val="24"/>
        </w:rPr>
        <w:t xml:space="preserve">6. </w:t>
      </w:r>
      <w:bookmarkEnd w:id="215"/>
      <w:bookmarkEnd w:id="216"/>
      <w:bookmarkEnd w:id="217"/>
      <w:bookmarkEnd w:id="218"/>
      <w:r>
        <w:rPr>
          <w:rFonts w:hint="eastAsia" w:ascii="宋体" w:hAnsi="宋体" w:eastAsia="宋体" w:cs="宋体"/>
          <w:sz w:val="24"/>
          <w:szCs w:val="24"/>
        </w:rPr>
        <w:t>评审及磋商</w:t>
      </w:r>
      <w:bookmarkEnd w:id="219"/>
    </w:p>
    <w:p w14:paraId="4721D036">
      <w:pPr>
        <w:pStyle w:val="58"/>
        <w:spacing w:line="464" w:lineRule="exact"/>
        <w:rPr>
          <w:rFonts w:ascii="宋体" w:cs="宋体"/>
          <w:b/>
          <w:bCs/>
          <w:color w:val="auto"/>
        </w:rPr>
      </w:pPr>
      <w:bookmarkStart w:id="220" w:name="_Toc144974531"/>
      <w:bookmarkEnd w:id="220"/>
      <w:bookmarkStart w:id="221" w:name="_Toc330304890"/>
      <w:bookmarkEnd w:id="221"/>
      <w:bookmarkStart w:id="222" w:name="_Toc325553583"/>
      <w:bookmarkEnd w:id="222"/>
      <w:bookmarkStart w:id="223" w:name="_Toc152042339"/>
      <w:bookmarkEnd w:id="223"/>
      <w:bookmarkStart w:id="224" w:name="_Toc152045563"/>
      <w:bookmarkEnd w:id="224"/>
      <w:bookmarkStart w:id="225" w:name="_Toc13752"/>
      <w:r>
        <w:rPr>
          <w:rFonts w:ascii="宋体" w:hAnsi="宋体" w:cs="宋体"/>
          <w:b/>
          <w:bCs/>
          <w:color w:val="auto"/>
        </w:rPr>
        <w:t xml:space="preserve">6.1 </w:t>
      </w:r>
      <w:bookmarkEnd w:id="225"/>
      <w:r>
        <w:rPr>
          <w:rFonts w:hint="eastAsia" w:ascii="宋体" w:hAnsi="宋体" w:cs="宋体"/>
          <w:b/>
          <w:bCs/>
          <w:color w:val="auto"/>
        </w:rPr>
        <w:t>磋商小组</w:t>
      </w:r>
    </w:p>
    <w:p w14:paraId="773D79E3">
      <w:pPr>
        <w:autoSpaceDE w:val="0"/>
        <w:spacing w:line="464" w:lineRule="exact"/>
        <w:ind w:firstLine="480" w:firstLineChars="200"/>
        <w:rPr>
          <w:rFonts w:hint="eastAsia" w:ascii="宋体" w:hAnsi="宋体" w:cs="宋体"/>
          <w:sz w:val="24"/>
          <w:szCs w:val="24"/>
        </w:rPr>
      </w:pPr>
      <w:r>
        <w:rPr>
          <w:rFonts w:ascii="宋体" w:hAnsi="宋体" w:cs="宋体"/>
          <w:sz w:val="24"/>
          <w:szCs w:val="24"/>
        </w:rPr>
        <w:t xml:space="preserve">6.1.1 </w:t>
      </w:r>
      <w:r>
        <w:rPr>
          <w:rFonts w:hint="eastAsia" w:ascii="宋体" w:hAnsi="宋体" w:cs="宋体"/>
          <w:sz w:val="24"/>
          <w:szCs w:val="24"/>
        </w:rPr>
        <w:t>评审及磋商由采购人依法组建的磋商小组负责。磋商小组由采购人熟悉相关业务的代表，以及有关技术、经济等方面的专家组成。磋商小组成员人数以及技术、经济等方面专家的确定方式见供应商须知前附表。</w:t>
      </w:r>
    </w:p>
    <w:p w14:paraId="0C79E43E">
      <w:pPr>
        <w:spacing w:line="464" w:lineRule="exact"/>
        <w:ind w:firstLine="480" w:firstLineChars="200"/>
        <w:rPr>
          <w:rFonts w:hint="eastAsia" w:ascii="宋体" w:hAnsi="宋体" w:cs="宋体"/>
          <w:sz w:val="24"/>
          <w:szCs w:val="24"/>
        </w:rPr>
      </w:pPr>
      <w:r>
        <w:rPr>
          <w:rFonts w:hint="eastAsia" w:ascii="宋体" w:hAnsi="宋体" w:cs="宋体"/>
          <w:sz w:val="24"/>
          <w:szCs w:val="24"/>
        </w:rPr>
        <w:t>6.1.2 磋商小组</w:t>
      </w:r>
      <w:r>
        <w:rPr>
          <w:rFonts w:ascii="宋体" w:hAnsi="宋体" w:cs="宋体"/>
          <w:sz w:val="24"/>
          <w:szCs w:val="24"/>
        </w:rPr>
        <w:t xml:space="preserve">由采购人代表和评审专家组成，成员人数应当为 </w:t>
      </w:r>
      <w:r>
        <w:rPr>
          <w:rFonts w:hint="eastAsia" w:ascii="宋体" w:hAnsi="宋体" w:cs="宋体"/>
          <w:sz w:val="24"/>
          <w:szCs w:val="24"/>
        </w:rPr>
        <w:t>3</w:t>
      </w:r>
      <w:r>
        <w:rPr>
          <w:rFonts w:ascii="宋体" w:hAnsi="宋体" w:cs="宋体"/>
          <w:sz w:val="24"/>
          <w:szCs w:val="24"/>
        </w:rPr>
        <w:t xml:space="preserve"> 人以上单数，其中评审专家不得少于成员总数的三分之二。 </w:t>
      </w:r>
    </w:p>
    <w:p w14:paraId="3B35CBDB">
      <w:pPr>
        <w:autoSpaceDE w:val="0"/>
        <w:spacing w:line="464" w:lineRule="exact"/>
        <w:ind w:firstLine="480" w:firstLineChars="200"/>
        <w:rPr>
          <w:rFonts w:hint="eastAsia" w:ascii="宋体" w:hAnsi="宋体" w:cs="宋体"/>
          <w:sz w:val="24"/>
          <w:szCs w:val="24"/>
        </w:rPr>
      </w:pPr>
      <w:r>
        <w:rPr>
          <w:rFonts w:ascii="宋体" w:hAnsi="宋体" w:cs="宋体"/>
          <w:sz w:val="24"/>
          <w:szCs w:val="24"/>
        </w:rPr>
        <w:t>6.1.</w:t>
      </w:r>
      <w:r>
        <w:rPr>
          <w:rFonts w:hint="eastAsia" w:ascii="宋体" w:hAnsi="宋体" w:cs="宋体"/>
          <w:sz w:val="24"/>
          <w:szCs w:val="24"/>
        </w:rPr>
        <w:t xml:space="preserve">3 </w:t>
      </w:r>
      <w:r>
        <w:rPr>
          <w:rFonts w:ascii="宋体" w:hAnsi="宋体" w:cs="宋体"/>
          <w:sz w:val="24"/>
          <w:szCs w:val="24"/>
        </w:rPr>
        <w:t>采购代理机构工作人员不得参加由本机构代理的政府采购项目的评标。</w:t>
      </w:r>
    </w:p>
    <w:p w14:paraId="19DA6647">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6.1.4 磋商小组</w:t>
      </w:r>
      <w:r>
        <w:rPr>
          <w:rFonts w:ascii="宋体" w:hAnsi="宋体" w:cs="宋体"/>
          <w:sz w:val="24"/>
          <w:szCs w:val="24"/>
        </w:rPr>
        <w:t>成员名单在评标结果公告前应当保密。</w:t>
      </w:r>
    </w:p>
    <w:p w14:paraId="6A9283D6">
      <w:pPr>
        <w:autoSpaceDE w:val="0"/>
        <w:spacing w:line="464" w:lineRule="exact"/>
        <w:ind w:firstLine="480" w:firstLineChars="200"/>
        <w:rPr>
          <w:rFonts w:ascii="宋体" w:cs="宋体"/>
          <w:sz w:val="24"/>
          <w:szCs w:val="24"/>
        </w:rPr>
      </w:pPr>
      <w:r>
        <w:rPr>
          <w:rFonts w:hint="eastAsia" w:ascii="宋体" w:hAnsi="宋体" w:cs="宋体"/>
          <w:sz w:val="24"/>
          <w:szCs w:val="24"/>
        </w:rPr>
        <w:t>6.1.5磋商小组成员有下列情形之一的，应当回避：</w:t>
      </w:r>
    </w:p>
    <w:p w14:paraId="11D8A4FA">
      <w:pPr>
        <w:autoSpaceDE w:val="0"/>
        <w:spacing w:line="464" w:lineRule="exact"/>
        <w:ind w:firstLine="820" w:firstLineChars="34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）采购人或供应商的主要负责人的近亲属；</w:t>
      </w:r>
    </w:p>
    <w:p w14:paraId="3F3DC471">
      <w:pPr>
        <w:autoSpaceDE w:val="0"/>
        <w:spacing w:line="464" w:lineRule="exact"/>
        <w:ind w:firstLine="820" w:firstLineChars="34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）项目主管部门或者行政监督部门的人员；</w:t>
      </w:r>
    </w:p>
    <w:p w14:paraId="3FA5F0AD">
      <w:pPr>
        <w:autoSpaceDE w:val="0"/>
        <w:spacing w:line="464" w:lineRule="exact"/>
        <w:ind w:firstLine="820" w:firstLineChars="34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）与供应商有经济利益关系，可能影响对投标公正评审的；</w:t>
      </w:r>
    </w:p>
    <w:p w14:paraId="5C0EFD94">
      <w:pPr>
        <w:autoSpaceDE w:val="0"/>
        <w:spacing w:line="464" w:lineRule="exact"/>
        <w:ind w:firstLine="820" w:firstLineChars="342"/>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）曾因在招标、评标以及其他与招标投标有关活动中从事违法行为而受过行政处罚或刑事处罚的。</w:t>
      </w:r>
    </w:p>
    <w:p w14:paraId="462303B6">
      <w:pPr>
        <w:spacing w:line="464" w:lineRule="exact"/>
        <w:ind w:firstLine="480" w:firstLineChars="200"/>
        <w:rPr>
          <w:rFonts w:hint="eastAsia" w:ascii="宋体" w:hAnsi="宋体" w:cs="宋体"/>
          <w:sz w:val="24"/>
          <w:szCs w:val="24"/>
        </w:rPr>
      </w:pPr>
      <w:r>
        <w:rPr>
          <w:rFonts w:hint="eastAsia" w:ascii="宋体" w:hAnsi="宋体" w:cs="宋体"/>
          <w:sz w:val="24"/>
          <w:szCs w:val="24"/>
        </w:rPr>
        <w:t>6.1.6 磋商小组</w:t>
      </w:r>
      <w:r>
        <w:rPr>
          <w:rFonts w:ascii="宋体" w:hAnsi="宋体" w:cs="宋体"/>
          <w:sz w:val="24"/>
          <w:szCs w:val="24"/>
        </w:rPr>
        <w:t>成员对需要共同认定的事项存在争议的，应当按照少数服从多数的原则做出结论。持不同意见的</w:t>
      </w:r>
      <w:r>
        <w:rPr>
          <w:rFonts w:hint="eastAsia" w:ascii="宋体" w:hAnsi="宋体" w:cs="宋体"/>
          <w:sz w:val="24"/>
          <w:szCs w:val="24"/>
        </w:rPr>
        <w:t>磋商小组</w:t>
      </w:r>
      <w:r>
        <w:rPr>
          <w:rFonts w:ascii="宋体" w:hAnsi="宋体" w:cs="宋体"/>
          <w:sz w:val="24"/>
          <w:szCs w:val="24"/>
        </w:rPr>
        <w:t xml:space="preserve">成员应当在评标报告上签署不同意见及理由，否则视为同意评标报告。 </w:t>
      </w:r>
    </w:p>
    <w:p w14:paraId="48523B01">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.1.7. 评标过程中，</w:t>
      </w:r>
      <w:r>
        <w:rPr>
          <w:rFonts w:hint="eastAsia" w:ascii="宋体" w:hAnsi="宋体" w:cs="宋体"/>
          <w:sz w:val="24"/>
          <w:szCs w:val="24"/>
        </w:rPr>
        <w:t>磋商小组</w:t>
      </w:r>
      <w:r>
        <w:rPr>
          <w:rFonts w:ascii="宋体" w:hAnsi="宋体" w:cs="宋体"/>
          <w:sz w:val="24"/>
          <w:szCs w:val="24"/>
        </w:rPr>
        <w:t>成员有回避事由、擅离职守或者因健康等原因不能继续评标的，采购人有权更换。被更换的</w:t>
      </w:r>
      <w:r>
        <w:rPr>
          <w:rFonts w:hint="eastAsia" w:ascii="宋体" w:hAnsi="宋体" w:cs="宋体"/>
          <w:sz w:val="24"/>
          <w:szCs w:val="24"/>
        </w:rPr>
        <w:t>磋商小组</w:t>
      </w:r>
      <w:r>
        <w:rPr>
          <w:rFonts w:ascii="宋体" w:hAnsi="宋体" w:cs="宋体"/>
          <w:sz w:val="24"/>
          <w:szCs w:val="24"/>
        </w:rPr>
        <w:t>成员做出的评审结论无效，由更换后的</w:t>
      </w:r>
      <w:r>
        <w:rPr>
          <w:rFonts w:hint="eastAsia" w:ascii="宋体" w:hAnsi="宋体" w:cs="宋体"/>
          <w:sz w:val="24"/>
          <w:szCs w:val="24"/>
        </w:rPr>
        <w:t>磋商小组</w:t>
      </w:r>
      <w:r>
        <w:rPr>
          <w:rFonts w:ascii="宋体" w:hAnsi="宋体" w:cs="宋体"/>
          <w:sz w:val="24"/>
          <w:szCs w:val="24"/>
        </w:rPr>
        <w:t xml:space="preserve">成员重新进行评审。 </w:t>
      </w:r>
    </w:p>
    <w:p w14:paraId="15AE5FB2">
      <w:pPr>
        <w:pStyle w:val="58"/>
        <w:spacing w:line="464" w:lineRule="exact"/>
        <w:rPr>
          <w:rFonts w:ascii="宋体" w:cs="宋体"/>
          <w:b/>
          <w:bCs/>
          <w:color w:val="auto"/>
        </w:rPr>
      </w:pPr>
      <w:bookmarkStart w:id="226" w:name="_Toc144974532"/>
      <w:bookmarkEnd w:id="226"/>
      <w:bookmarkStart w:id="227" w:name="_Toc330304891"/>
      <w:bookmarkEnd w:id="227"/>
      <w:bookmarkStart w:id="228" w:name="_Toc325553584"/>
      <w:bookmarkEnd w:id="228"/>
      <w:bookmarkStart w:id="229" w:name="_Toc152042340"/>
      <w:bookmarkEnd w:id="229"/>
      <w:bookmarkStart w:id="230" w:name="_Toc152045564"/>
      <w:bookmarkEnd w:id="230"/>
      <w:bookmarkStart w:id="231" w:name="_Toc21833"/>
      <w:r>
        <w:rPr>
          <w:rFonts w:ascii="宋体" w:hAnsi="宋体" w:cs="宋体"/>
          <w:b/>
          <w:bCs/>
          <w:color w:val="auto"/>
        </w:rPr>
        <w:t xml:space="preserve">6.2 </w:t>
      </w:r>
      <w:r>
        <w:rPr>
          <w:rFonts w:hint="eastAsia" w:ascii="宋体" w:hAnsi="宋体" w:cs="宋体"/>
          <w:b/>
          <w:bCs/>
          <w:color w:val="auto"/>
        </w:rPr>
        <w:t>评标原则</w:t>
      </w:r>
      <w:bookmarkEnd w:id="231"/>
    </w:p>
    <w:p w14:paraId="5D99EA55">
      <w:pPr>
        <w:autoSpaceDE w:val="0"/>
        <w:spacing w:line="464" w:lineRule="exact"/>
        <w:ind w:firstLine="480" w:firstLineChars="200"/>
        <w:rPr>
          <w:rFonts w:ascii="宋体" w:cs="宋体"/>
          <w:sz w:val="24"/>
          <w:szCs w:val="24"/>
        </w:rPr>
      </w:pPr>
      <w:r>
        <w:rPr>
          <w:rFonts w:hint="eastAsia" w:ascii="宋体" w:hAnsi="宋体" w:cs="宋体"/>
          <w:sz w:val="24"/>
          <w:szCs w:val="24"/>
        </w:rPr>
        <w:t>评标活动遵循公平、公正、科学和择优的原则。</w:t>
      </w:r>
    </w:p>
    <w:p w14:paraId="74BFA155">
      <w:pPr>
        <w:pStyle w:val="58"/>
        <w:spacing w:line="464" w:lineRule="exact"/>
        <w:rPr>
          <w:rFonts w:ascii="宋体" w:cs="宋体"/>
          <w:b/>
          <w:bCs/>
          <w:color w:val="auto"/>
        </w:rPr>
      </w:pPr>
      <w:bookmarkStart w:id="232" w:name="_Toc144974533"/>
      <w:bookmarkEnd w:id="232"/>
      <w:bookmarkStart w:id="233" w:name="_Toc330304892"/>
      <w:bookmarkEnd w:id="233"/>
      <w:bookmarkStart w:id="234" w:name="_Toc152045565"/>
      <w:bookmarkEnd w:id="234"/>
      <w:bookmarkStart w:id="235" w:name="_Toc152042341"/>
      <w:bookmarkEnd w:id="235"/>
      <w:bookmarkStart w:id="236" w:name="_Toc325553585"/>
      <w:bookmarkEnd w:id="236"/>
      <w:bookmarkStart w:id="237" w:name="_Toc6203"/>
      <w:r>
        <w:rPr>
          <w:rFonts w:ascii="宋体" w:hAnsi="宋体" w:cs="宋体"/>
          <w:b/>
          <w:bCs/>
          <w:color w:val="auto"/>
        </w:rPr>
        <w:t xml:space="preserve">6.3 </w:t>
      </w:r>
      <w:r>
        <w:rPr>
          <w:rFonts w:hint="eastAsia" w:ascii="宋体" w:hAnsi="宋体" w:cs="宋体"/>
          <w:b/>
          <w:bCs/>
          <w:color w:val="auto"/>
        </w:rPr>
        <w:t>评标</w:t>
      </w:r>
      <w:bookmarkEnd w:id="237"/>
    </w:p>
    <w:p w14:paraId="769D2DA4">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6.3.1磋商小组按照第三章“评标办法”规定的方法、评审因素、标准和程序对响应文件进行评审。第三章“评标办法”没有规定的方法、评审因素和标准，不作为评标依据。</w:t>
      </w:r>
    </w:p>
    <w:p w14:paraId="06ECDED9">
      <w:pPr>
        <w:spacing w:line="464" w:lineRule="exact"/>
        <w:ind w:firstLine="480" w:firstLineChars="200"/>
        <w:rPr>
          <w:rFonts w:hint="eastAsia" w:ascii="宋体" w:hAnsi="宋体" w:cs="宋体"/>
          <w:sz w:val="24"/>
          <w:szCs w:val="24"/>
        </w:rPr>
      </w:pPr>
      <w:r>
        <w:rPr>
          <w:rFonts w:hint="eastAsia" w:ascii="宋体" w:hAnsi="宋体" w:cs="宋体"/>
          <w:sz w:val="24"/>
          <w:szCs w:val="24"/>
        </w:rPr>
        <w:t>6.3.2保密</w:t>
      </w:r>
    </w:p>
    <w:p w14:paraId="482DDE75">
      <w:pPr>
        <w:spacing w:line="464" w:lineRule="exact"/>
        <w:ind w:firstLine="480" w:firstLineChars="200"/>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 xml:space="preserve">评标是招标工作的重要环节，评标工作在磋商小组内独立进行。 </w:t>
      </w:r>
    </w:p>
    <w:p w14:paraId="22BC0E1D">
      <w:pPr>
        <w:spacing w:line="464" w:lineRule="exact"/>
        <w:ind w:firstLine="480" w:firstLineChars="2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 xml:space="preserve">磋商小组将遵照规定的评标方法，公正、平等地对待所有供应商。 </w:t>
      </w:r>
    </w:p>
    <w:p w14:paraId="23763FAF">
      <w:pPr>
        <w:spacing w:line="464" w:lineRule="exact"/>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在开标、评标期间，供应商不得向评委询问评标情况，不得进行旨在影响评标结果的活动</w:t>
      </w:r>
      <w:r>
        <w:rPr>
          <w:rFonts w:hint="eastAsia" w:ascii="宋体" w:hAnsi="宋体" w:cs="宋体"/>
          <w:sz w:val="24"/>
          <w:szCs w:val="24"/>
        </w:rPr>
        <w:t>，</w:t>
      </w:r>
      <w:r>
        <w:rPr>
          <w:rFonts w:ascii="宋体" w:hAnsi="宋体" w:cs="宋体"/>
          <w:sz w:val="24"/>
          <w:szCs w:val="24"/>
        </w:rPr>
        <w:t xml:space="preserve">否则其投标可能被拒绝。 </w:t>
      </w:r>
    </w:p>
    <w:p w14:paraId="0A75EB8D">
      <w:pPr>
        <w:spacing w:line="464" w:lineRule="exact"/>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 xml:space="preserve">为保证评标的公正性，开标后直至授予供应商合同，评委不得与供应商私下交换意见。 </w:t>
      </w:r>
    </w:p>
    <w:p w14:paraId="68DA44EE">
      <w:pPr>
        <w:spacing w:line="464"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 xml:space="preserve">在评标工作结束后，凡与评标情况有接触的任何人不得擅自将评标情况扩散出评标人员之外。 </w:t>
      </w:r>
    </w:p>
    <w:p w14:paraId="18934DF5">
      <w:pPr>
        <w:spacing w:line="464" w:lineRule="exact"/>
        <w:ind w:firstLine="480" w:firstLineChars="200"/>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 xml:space="preserve">评标结束后，响应文件概不退还。 </w:t>
      </w:r>
    </w:p>
    <w:p w14:paraId="66226E44">
      <w:pPr>
        <w:spacing w:line="464" w:lineRule="exact"/>
        <w:ind w:firstLine="480" w:firstLineChars="200"/>
        <w:rPr>
          <w:rFonts w:hint="eastAsia" w:ascii="宋体" w:hAnsi="宋体" w:cs="宋体"/>
          <w:sz w:val="24"/>
          <w:szCs w:val="24"/>
        </w:rPr>
      </w:pPr>
      <w:r>
        <w:rPr>
          <w:rFonts w:hint="eastAsia" w:ascii="宋体" w:hAnsi="宋体" w:cs="宋体"/>
          <w:sz w:val="24"/>
          <w:szCs w:val="24"/>
        </w:rPr>
        <w:t>（7）</w:t>
      </w:r>
      <w:r>
        <w:rPr>
          <w:rFonts w:ascii="宋体" w:hAnsi="宋体" w:cs="宋体"/>
          <w:sz w:val="24"/>
          <w:szCs w:val="24"/>
        </w:rPr>
        <w:t xml:space="preserve">评审专家应当遵守评审工作纪律，不得泄露评审文件、评审情况和评审中获悉的商业秘密。 </w:t>
      </w:r>
    </w:p>
    <w:p w14:paraId="51ED24BB">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（8）</w:t>
      </w:r>
      <w:r>
        <w:rPr>
          <w:rFonts w:ascii="宋体" w:hAnsi="宋体" w:cs="宋体"/>
          <w:sz w:val="24"/>
          <w:szCs w:val="24"/>
        </w:rPr>
        <w:t>采购人、采购代理机构应当采取必要措施，保证评标在严格保密的情况下进行。有关人员对评标情况以及在评标过程中获悉的国家秘密、商业秘密负有保密责任。</w:t>
      </w:r>
    </w:p>
    <w:p w14:paraId="11A707B5">
      <w:pPr>
        <w:pStyle w:val="3"/>
        <w:spacing w:line="464" w:lineRule="exact"/>
        <w:rPr>
          <w:rFonts w:hint="eastAsia" w:ascii="宋体" w:hAnsi="宋体" w:eastAsia="宋体"/>
          <w:sz w:val="24"/>
          <w:szCs w:val="24"/>
        </w:rPr>
      </w:pPr>
      <w:bookmarkStart w:id="238" w:name="_Toc152042342"/>
      <w:bookmarkEnd w:id="238"/>
      <w:bookmarkStart w:id="239" w:name="_Toc152045566"/>
      <w:bookmarkEnd w:id="239"/>
      <w:bookmarkStart w:id="240" w:name="_Toc144974534"/>
      <w:bookmarkEnd w:id="240"/>
      <w:bookmarkStart w:id="241" w:name="_Toc330304893"/>
      <w:bookmarkEnd w:id="241"/>
      <w:bookmarkStart w:id="242" w:name="_Toc25378"/>
      <w:bookmarkStart w:id="243" w:name="_Toc15965_WPSOffice_Level2"/>
      <w:bookmarkStart w:id="244" w:name="_Toc14038_WPSOffice_Level2"/>
      <w:bookmarkStart w:id="245" w:name="_Toc152656716"/>
      <w:bookmarkStart w:id="246" w:name="_Toc7161"/>
      <w:r>
        <w:rPr>
          <w:rFonts w:ascii="宋体" w:hAnsi="宋体" w:eastAsia="宋体" w:cs="宋体"/>
          <w:sz w:val="24"/>
          <w:szCs w:val="24"/>
        </w:rPr>
        <w:t xml:space="preserve">7. </w:t>
      </w:r>
      <w:r>
        <w:rPr>
          <w:rFonts w:hint="eastAsia" w:ascii="宋体" w:hAnsi="宋体" w:eastAsia="宋体" w:cs="宋体"/>
          <w:sz w:val="24"/>
          <w:szCs w:val="24"/>
        </w:rPr>
        <w:t>合同授予</w:t>
      </w:r>
      <w:bookmarkEnd w:id="242"/>
      <w:bookmarkEnd w:id="243"/>
      <w:bookmarkEnd w:id="244"/>
      <w:bookmarkEnd w:id="245"/>
      <w:bookmarkEnd w:id="246"/>
    </w:p>
    <w:p w14:paraId="4FDF6233">
      <w:pPr>
        <w:pStyle w:val="58"/>
        <w:spacing w:line="464" w:lineRule="exact"/>
        <w:rPr>
          <w:rFonts w:ascii="宋体" w:cs="宋体"/>
          <w:b/>
          <w:bCs/>
          <w:color w:val="auto"/>
        </w:rPr>
      </w:pPr>
      <w:bookmarkStart w:id="247" w:name="_Toc330304894"/>
      <w:bookmarkEnd w:id="247"/>
      <w:bookmarkStart w:id="248" w:name="_Toc144974539"/>
      <w:bookmarkEnd w:id="248"/>
      <w:bookmarkStart w:id="249" w:name="_Toc152042343"/>
      <w:bookmarkEnd w:id="249"/>
      <w:bookmarkStart w:id="250" w:name="_Toc330304898"/>
      <w:bookmarkEnd w:id="250"/>
      <w:bookmarkStart w:id="251" w:name="_Toc152045571"/>
      <w:bookmarkEnd w:id="251"/>
      <w:bookmarkStart w:id="252" w:name="_Toc325553587"/>
      <w:bookmarkEnd w:id="252"/>
      <w:bookmarkStart w:id="253" w:name="_Toc152042347"/>
      <w:bookmarkEnd w:id="253"/>
      <w:bookmarkStart w:id="254" w:name="_Toc152045567"/>
      <w:bookmarkEnd w:id="254"/>
      <w:bookmarkStart w:id="255" w:name="_Toc144974535"/>
      <w:bookmarkEnd w:id="255"/>
      <w:bookmarkStart w:id="256" w:name="_Toc10603"/>
      <w:bookmarkStart w:id="257" w:name="_Toc11338"/>
      <w:bookmarkStart w:id="258" w:name="_Toc10976"/>
      <w:bookmarkStart w:id="259" w:name="_Toc31637"/>
      <w:bookmarkStart w:id="260" w:name="_Toc8692_WPSOffice_Level2"/>
      <w:bookmarkStart w:id="261" w:name="_Toc18498"/>
      <w:r>
        <w:rPr>
          <w:rFonts w:ascii="宋体" w:hAnsi="宋体" w:cs="宋体"/>
          <w:b/>
          <w:bCs/>
          <w:color w:val="auto"/>
        </w:rPr>
        <w:t xml:space="preserve">7.1 </w:t>
      </w:r>
      <w:bookmarkEnd w:id="256"/>
      <w:bookmarkEnd w:id="257"/>
      <w:bookmarkEnd w:id="258"/>
      <w:bookmarkStart w:id="262" w:name="_Toc15543"/>
      <w:bookmarkStart w:id="263" w:name="_Toc21289"/>
      <w:bookmarkStart w:id="264" w:name="_Toc1872"/>
      <w:r>
        <w:rPr>
          <w:rFonts w:hint="eastAsia" w:ascii="宋体" w:hAnsi="宋体" w:cs="宋体"/>
          <w:b/>
          <w:bCs/>
          <w:color w:val="auto"/>
        </w:rPr>
        <w:t>确定中标人</w:t>
      </w:r>
    </w:p>
    <w:p w14:paraId="47C72840">
      <w:pPr>
        <w:autoSpaceDE w:val="0"/>
        <w:spacing w:line="464" w:lineRule="exact"/>
        <w:ind w:firstLine="480" w:firstLineChars="200"/>
        <w:rPr>
          <w:rFonts w:hint="eastAsia" w:ascii="宋体" w:hAnsi="宋体" w:cs="宋体"/>
          <w:sz w:val="24"/>
          <w:szCs w:val="24"/>
        </w:rPr>
      </w:pPr>
      <w:r>
        <w:rPr>
          <w:rFonts w:ascii="宋体" w:hAnsi="宋体" w:cs="宋体"/>
          <w:sz w:val="24"/>
          <w:szCs w:val="24"/>
        </w:rPr>
        <w:t>7.1.1</w:t>
      </w:r>
      <w:r>
        <w:rPr>
          <w:rFonts w:hint="eastAsia" w:ascii="宋体" w:hAnsi="宋体" w:cs="宋体"/>
          <w:sz w:val="24"/>
          <w:szCs w:val="24"/>
        </w:rPr>
        <w:t xml:space="preserve"> 采购人应在评标结果当天定标，并在评标结束之日起1个工作日内（不含当日）发布结果公告，同时发出中标通知书。</w:t>
      </w:r>
    </w:p>
    <w:p w14:paraId="3E600467">
      <w:pPr>
        <w:autoSpaceDE w:val="0"/>
        <w:spacing w:line="464" w:lineRule="exact"/>
        <w:ind w:firstLine="480" w:firstLineChars="200"/>
        <w:rPr>
          <w:rFonts w:ascii="宋体" w:cs="宋体"/>
          <w:sz w:val="24"/>
          <w:szCs w:val="24"/>
        </w:rPr>
      </w:pPr>
      <w:r>
        <w:rPr>
          <w:rFonts w:ascii="宋体" w:hAnsi="宋体" w:cs="宋体"/>
          <w:sz w:val="24"/>
          <w:szCs w:val="24"/>
        </w:rPr>
        <w:t>7.1.2</w:t>
      </w:r>
      <w:r>
        <w:rPr>
          <w:rFonts w:hint="eastAsia" w:ascii="宋体" w:hAnsi="宋体" w:cs="宋体"/>
          <w:sz w:val="24"/>
          <w:szCs w:val="24"/>
        </w:rPr>
        <w:t>采购人应在评标报告确定的中标候选人名单中按顺序确定中标人。中标候选人并列的，由采购人或采购人委托磋商小组按照</w:t>
      </w:r>
      <w:r>
        <w:rPr>
          <w:rFonts w:hint="eastAsia" w:hAnsi="宋体" w:cs="宋体"/>
          <w:sz w:val="24"/>
          <w:szCs w:val="24"/>
        </w:rPr>
        <w:t>竞争性磋商文件</w:t>
      </w:r>
      <w:r>
        <w:rPr>
          <w:rFonts w:hint="eastAsia" w:ascii="宋体" w:hAnsi="宋体" w:cs="宋体"/>
          <w:sz w:val="24"/>
          <w:szCs w:val="24"/>
        </w:rPr>
        <w:t>规定的方式确定中标人；</w:t>
      </w:r>
      <w:r>
        <w:rPr>
          <w:rFonts w:hint="eastAsia" w:hAnsi="宋体" w:cs="宋体"/>
          <w:sz w:val="24"/>
          <w:szCs w:val="24"/>
        </w:rPr>
        <w:t>竞争性磋商文件</w:t>
      </w:r>
      <w:r>
        <w:rPr>
          <w:rFonts w:hint="eastAsia" w:ascii="宋体" w:hAnsi="宋体" w:cs="宋体"/>
          <w:sz w:val="24"/>
          <w:szCs w:val="24"/>
        </w:rPr>
        <w:t>未规定的，由采购人采取随机抽取的方式确定。</w:t>
      </w:r>
    </w:p>
    <w:p w14:paraId="0495C581">
      <w:pPr>
        <w:autoSpaceDE w:val="0"/>
        <w:spacing w:line="464" w:lineRule="exact"/>
        <w:ind w:firstLine="480" w:firstLineChars="200"/>
        <w:rPr>
          <w:rFonts w:hint="eastAsia" w:ascii="宋体" w:hAnsi="宋体" w:cs="宋体"/>
          <w:sz w:val="24"/>
          <w:szCs w:val="24"/>
        </w:rPr>
      </w:pPr>
      <w:r>
        <w:rPr>
          <w:rFonts w:ascii="宋体" w:hAnsi="宋体" w:cs="宋体"/>
          <w:sz w:val="24"/>
          <w:szCs w:val="24"/>
        </w:rPr>
        <w:t>7.1.3</w:t>
      </w:r>
      <w:r>
        <w:rPr>
          <w:rFonts w:hint="eastAsia" w:ascii="宋体" w:hAnsi="宋体" w:cs="宋体"/>
          <w:sz w:val="24"/>
          <w:szCs w:val="24"/>
        </w:rPr>
        <w:t>采购人未按评标报告推荐的中标候选人顺序确定中标人，又不能说明合法理由的，视同按评标报告推荐的顺序确定排名第一的中标候选人为中标人。</w:t>
      </w:r>
    </w:p>
    <w:p w14:paraId="00C6906D">
      <w:pPr>
        <w:autoSpaceDE w:val="0"/>
        <w:spacing w:line="464" w:lineRule="exact"/>
        <w:ind w:firstLine="480" w:firstLineChars="200"/>
        <w:rPr>
          <w:rFonts w:hint="eastAsia" w:ascii="宋体" w:hAnsi="宋体" w:cs="宋体"/>
          <w:sz w:val="24"/>
          <w:szCs w:val="24"/>
        </w:rPr>
      </w:pPr>
      <w:r>
        <w:rPr>
          <w:rFonts w:hint="eastAsia" w:ascii="宋体" w:hAnsi="宋体" w:cs="宋体"/>
          <w:sz w:val="24"/>
          <w:szCs w:val="24"/>
        </w:rPr>
        <w:t xml:space="preserve">7.1.4 新郑市财政局已为政府采购中标（成交）的中小微企业供应商搭建了“政银企”合作平台，提供“政采贷”合同融资产品、预付款保函、融资担保等服务（百度搜索：新郑市政府采购网），同时也可以登录“新郑市公共资源交易中心”官网，进入金融服务平台，由金融机构提供“电子保函”、“投标贷”、“中标贷”。 </w:t>
      </w:r>
    </w:p>
    <w:p w14:paraId="5C9F5FAA">
      <w:pPr>
        <w:pStyle w:val="58"/>
        <w:spacing w:line="464" w:lineRule="exact"/>
        <w:rPr>
          <w:rFonts w:ascii="宋体" w:cs="宋体"/>
          <w:b/>
          <w:bCs/>
          <w:color w:val="auto"/>
        </w:rPr>
      </w:pPr>
      <w:r>
        <w:rPr>
          <w:rFonts w:ascii="宋体" w:hAnsi="宋体" w:cs="宋体"/>
          <w:b/>
          <w:bCs/>
          <w:color w:val="auto"/>
        </w:rPr>
        <w:t xml:space="preserve">7.2 </w:t>
      </w:r>
      <w:bookmarkEnd w:id="262"/>
      <w:bookmarkEnd w:id="263"/>
      <w:bookmarkEnd w:id="264"/>
      <w:bookmarkStart w:id="265" w:name="_Toc7937"/>
      <w:bookmarkStart w:id="266" w:name="_Toc26636"/>
      <w:bookmarkStart w:id="267" w:name="_Toc24766"/>
      <w:r>
        <w:rPr>
          <w:rFonts w:hint="eastAsia" w:ascii="宋体" w:hAnsi="宋体" w:cs="宋体"/>
          <w:b/>
          <w:bCs/>
          <w:color w:val="auto"/>
        </w:rPr>
        <w:t>成交公告、发出成交通知书</w:t>
      </w:r>
    </w:p>
    <w:p w14:paraId="6925F431">
      <w:pPr>
        <w:autoSpaceDE w:val="0"/>
        <w:spacing w:line="464" w:lineRule="exact"/>
        <w:ind w:firstLine="480" w:firstLineChars="200"/>
        <w:rPr>
          <w:rFonts w:ascii="宋体" w:cs="宋体"/>
          <w:sz w:val="24"/>
          <w:szCs w:val="24"/>
        </w:rPr>
      </w:pPr>
      <w:r>
        <w:rPr>
          <w:rFonts w:ascii="宋体" w:hAnsi="宋体" w:cs="宋体"/>
          <w:sz w:val="24"/>
          <w:szCs w:val="24"/>
        </w:rPr>
        <w:t>7.2.1</w:t>
      </w:r>
      <w:r>
        <w:rPr>
          <w:rFonts w:hint="eastAsia" w:ascii="宋体" w:hAnsi="宋体" w:cs="宋体"/>
          <w:sz w:val="24"/>
          <w:szCs w:val="24"/>
        </w:rPr>
        <w:t>采购人或者采购代理机构应当自中标人确定之日起</w:t>
      </w:r>
      <w:r>
        <w:rPr>
          <w:rFonts w:ascii="宋体" w:hAnsi="宋体" w:cs="宋体"/>
          <w:sz w:val="24"/>
          <w:szCs w:val="24"/>
        </w:rPr>
        <w:t>2</w:t>
      </w:r>
      <w:r>
        <w:rPr>
          <w:rFonts w:hint="eastAsia" w:ascii="宋体" w:hAnsi="宋体" w:cs="宋体"/>
          <w:sz w:val="24"/>
          <w:szCs w:val="24"/>
        </w:rPr>
        <w:t>个工作日内，在省级以上财政部门指定的媒体上公告中标结果，</w:t>
      </w:r>
      <w:r>
        <w:rPr>
          <w:rFonts w:hint="eastAsia" w:hAnsi="宋体" w:cs="宋体"/>
          <w:sz w:val="24"/>
          <w:szCs w:val="24"/>
        </w:rPr>
        <w:t>竞争性磋商文件</w:t>
      </w:r>
      <w:r>
        <w:rPr>
          <w:rFonts w:hint="eastAsia" w:ascii="宋体" w:hAnsi="宋体" w:cs="宋体"/>
          <w:sz w:val="24"/>
          <w:szCs w:val="24"/>
        </w:rPr>
        <w:t>应当随中标结果同时公告。</w:t>
      </w:r>
    </w:p>
    <w:p w14:paraId="7015F5A2">
      <w:pPr>
        <w:autoSpaceDE w:val="0"/>
        <w:spacing w:line="464" w:lineRule="exact"/>
        <w:ind w:firstLine="480" w:firstLineChars="200"/>
        <w:rPr>
          <w:rFonts w:ascii="宋体" w:cs="宋体"/>
          <w:sz w:val="24"/>
          <w:szCs w:val="24"/>
        </w:rPr>
      </w:pPr>
      <w:r>
        <w:rPr>
          <w:rFonts w:ascii="宋体" w:hAnsi="宋体" w:cs="宋体"/>
          <w:sz w:val="24"/>
          <w:szCs w:val="24"/>
        </w:rPr>
        <w:t>7.2.2</w:t>
      </w:r>
      <w:r>
        <w:rPr>
          <w:rFonts w:hint="eastAsia" w:ascii="宋体" w:hAnsi="宋体" w:cs="宋体"/>
          <w:sz w:val="24"/>
          <w:szCs w:val="24"/>
        </w:rPr>
        <w:t>采购人确认中标人后，采购人或采购代理机构在公告成交结果的同时（公示期为</w:t>
      </w:r>
      <w:r>
        <w:rPr>
          <w:rFonts w:ascii="宋体" w:hAnsi="宋体" w:cs="宋体"/>
          <w:sz w:val="24"/>
          <w:szCs w:val="24"/>
        </w:rPr>
        <w:t>1</w:t>
      </w:r>
      <w:r>
        <w:rPr>
          <w:rFonts w:hint="eastAsia" w:ascii="宋体" w:hAnsi="宋体" w:cs="宋体"/>
          <w:sz w:val="24"/>
          <w:szCs w:val="24"/>
        </w:rPr>
        <w:t>个工作日），向成交供应商发出成交通知书。</w:t>
      </w:r>
    </w:p>
    <w:p w14:paraId="157D2F08">
      <w:pPr>
        <w:autoSpaceDE w:val="0"/>
        <w:spacing w:line="464" w:lineRule="exact"/>
        <w:ind w:firstLine="480" w:firstLineChars="200"/>
        <w:rPr>
          <w:rFonts w:ascii="宋体" w:cs="宋体"/>
          <w:sz w:val="24"/>
          <w:szCs w:val="24"/>
        </w:rPr>
      </w:pPr>
      <w:r>
        <w:rPr>
          <w:rFonts w:ascii="宋体" w:hAnsi="宋体" w:cs="宋体"/>
          <w:sz w:val="24"/>
          <w:szCs w:val="24"/>
        </w:rPr>
        <w:t>7.2.3</w:t>
      </w:r>
      <w:r>
        <w:rPr>
          <w:rFonts w:hint="eastAsia" w:ascii="宋体" w:hAnsi="宋体" w:cs="宋体"/>
          <w:sz w:val="24"/>
          <w:szCs w:val="24"/>
        </w:rPr>
        <w:t>成交通知书发出后，采购人不得违法改变成交结果，成交供应商无正当理由不得放弃中标。</w:t>
      </w:r>
    </w:p>
    <w:p w14:paraId="7E81FE06">
      <w:pPr>
        <w:pStyle w:val="58"/>
        <w:spacing w:line="464" w:lineRule="exact"/>
        <w:rPr>
          <w:rFonts w:ascii="宋体" w:cs="宋体"/>
          <w:b/>
          <w:bCs/>
          <w:color w:val="auto"/>
        </w:rPr>
      </w:pPr>
      <w:r>
        <w:rPr>
          <w:rFonts w:ascii="宋体" w:hAnsi="宋体" w:cs="宋体"/>
          <w:b/>
          <w:bCs/>
          <w:color w:val="auto"/>
        </w:rPr>
        <w:t>7.3</w:t>
      </w:r>
      <w:r>
        <w:rPr>
          <w:rFonts w:hint="eastAsia" w:ascii="宋体" w:hAnsi="宋体" w:cs="宋体"/>
          <w:b/>
          <w:bCs/>
          <w:color w:val="auto"/>
        </w:rPr>
        <w:t xml:space="preserve"> 签订合同</w:t>
      </w:r>
      <w:bookmarkEnd w:id="265"/>
      <w:bookmarkEnd w:id="266"/>
      <w:bookmarkEnd w:id="267"/>
    </w:p>
    <w:p w14:paraId="5BFB2E41">
      <w:pPr>
        <w:autoSpaceDE w:val="0"/>
        <w:spacing w:line="464" w:lineRule="exact"/>
        <w:ind w:firstLine="480" w:firstLineChars="200"/>
        <w:rPr>
          <w:rFonts w:ascii="宋体" w:cs="宋体"/>
          <w:sz w:val="24"/>
          <w:szCs w:val="24"/>
        </w:rPr>
      </w:pPr>
      <w:r>
        <w:rPr>
          <w:rFonts w:ascii="宋体" w:hAnsi="宋体" w:cs="宋体"/>
          <w:sz w:val="24"/>
          <w:szCs w:val="24"/>
        </w:rPr>
        <w:t>7.3.1</w:t>
      </w:r>
      <w:r>
        <w:rPr>
          <w:rFonts w:hint="eastAsia" w:ascii="宋体" w:hAnsi="宋体" w:cs="宋体"/>
          <w:sz w:val="24"/>
          <w:szCs w:val="24"/>
        </w:rPr>
        <w:t>采购人与中标供应商合同签订应在发布中标结果公告之日起2个工作日内，按照</w:t>
      </w:r>
      <w:r>
        <w:rPr>
          <w:rFonts w:hint="eastAsia" w:hAnsi="宋体" w:cs="宋体"/>
          <w:sz w:val="24"/>
          <w:szCs w:val="24"/>
        </w:rPr>
        <w:t>竞争性磋商文件</w:t>
      </w:r>
      <w:r>
        <w:rPr>
          <w:rFonts w:hint="eastAsia" w:ascii="宋体" w:hAnsi="宋体" w:cs="宋体"/>
          <w:sz w:val="24"/>
          <w:szCs w:val="24"/>
        </w:rPr>
        <w:t>和中标人的响应文件的规定，与成交供应商签订书面合同。所签订的合同不得对</w:t>
      </w:r>
      <w:r>
        <w:rPr>
          <w:rFonts w:hint="eastAsia" w:hAnsi="宋体" w:cs="宋体"/>
          <w:sz w:val="24"/>
          <w:szCs w:val="24"/>
        </w:rPr>
        <w:t>竞争性磋商文件</w:t>
      </w:r>
      <w:r>
        <w:rPr>
          <w:rFonts w:hint="eastAsia" w:ascii="宋体" w:hAnsi="宋体" w:cs="宋体"/>
          <w:sz w:val="24"/>
          <w:szCs w:val="24"/>
        </w:rPr>
        <w:t>确定的事项和中标人响应文件作实质性修改。</w:t>
      </w:r>
    </w:p>
    <w:p w14:paraId="4E2A5A0A">
      <w:pPr>
        <w:autoSpaceDE w:val="0"/>
        <w:spacing w:line="464" w:lineRule="exact"/>
        <w:ind w:firstLine="480" w:firstLineChars="200"/>
        <w:rPr>
          <w:rFonts w:ascii="宋体" w:cs="宋体"/>
          <w:sz w:val="24"/>
          <w:szCs w:val="24"/>
        </w:rPr>
      </w:pPr>
      <w:r>
        <w:rPr>
          <w:rFonts w:hint="eastAsia" w:ascii="宋体" w:hAnsi="宋体" w:cs="宋体"/>
          <w:sz w:val="24"/>
          <w:szCs w:val="24"/>
        </w:rPr>
        <w:t>成交供应商无正当理由拒签合同，在签订合同时向采购人提出附加条件；给采购人造成的损失超过一定数额的，成交供应商还应当对超过部分予以赔偿。</w:t>
      </w:r>
    </w:p>
    <w:p w14:paraId="49CD1716">
      <w:pPr>
        <w:autoSpaceDE w:val="0"/>
        <w:spacing w:line="464" w:lineRule="exact"/>
        <w:ind w:firstLine="480" w:firstLineChars="200"/>
        <w:rPr>
          <w:rFonts w:ascii="宋体" w:cs="宋体"/>
          <w:sz w:val="24"/>
          <w:szCs w:val="24"/>
        </w:rPr>
      </w:pPr>
      <w:r>
        <w:rPr>
          <w:rFonts w:ascii="宋体" w:hAnsi="宋体" w:cs="宋体"/>
          <w:sz w:val="24"/>
          <w:szCs w:val="24"/>
        </w:rPr>
        <w:t>7.3.2</w:t>
      </w:r>
      <w:r>
        <w:rPr>
          <w:rFonts w:hint="eastAsia" w:ascii="宋体" w:hAnsi="宋体" w:cs="宋体"/>
          <w:sz w:val="24"/>
          <w:szCs w:val="24"/>
        </w:rPr>
        <w:t>发出成交通知书后，采购人无正当理由拒签合同，或者在签订合同时向成交供应商提出附加条件、给成交供应商造成损失的，还应当赔偿损失。</w:t>
      </w:r>
    </w:p>
    <w:p w14:paraId="5BFB7E95">
      <w:pPr>
        <w:autoSpaceDE w:val="0"/>
        <w:spacing w:line="464" w:lineRule="exact"/>
        <w:ind w:firstLine="480" w:firstLineChars="200"/>
        <w:rPr>
          <w:rFonts w:ascii="宋体" w:cs="宋体"/>
          <w:sz w:val="24"/>
          <w:szCs w:val="24"/>
        </w:rPr>
      </w:pPr>
      <w:r>
        <w:rPr>
          <w:rFonts w:ascii="宋体" w:hAnsi="宋体" w:cs="宋体"/>
          <w:sz w:val="24"/>
          <w:szCs w:val="24"/>
        </w:rPr>
        <w:t>7.3.3</w:t>
      </w:r>
      <w:r>
        <w:rPr>
          <w:rFonts w:hint="eastAsia" w:ascii="宋体" w:hAnsi="宋体" w:cs="宋体"/>
          <w:sz w:val="24"/>
          <w:szCs w:val="24"/>
        </w:rPr>
        <w:t>授予合同时变更数量的权力：采购人在授予合同时经有关部门审批后有权对规定的项目及服务予以增减。</w:t>
      </w:r>
    </w:p>
    <w:p w14:paraId="5A3400EE">
      <w:pPr>
        <w:autoSpaceDE w:val="0"/>
        <w:spacing w:line="464" w:lineRule="exact"/>
        <w:ind w:firstLine="480" w:firstLineChars="200"/>
        <w:rPr>
          <w:rFonts w:ascii="宋体" w:cs="宋体"/>
          <w:sz w:val="24"/>
          <w:szCs w:val="24"/>
        </w:rPr>
      </w:pPr>
      <w:r>
        <w:rPr>
          <w:rFonts w:ascii="宋体" w:hAnsi="宋体" w:cs="宋体"/>
          <w:sz w:val="24"/>
          <w:szCs w:val="24"/>
        </w:rPr>
        <w:t>7.3.4</w:t>
      </w:r>
      <w:r>
        <w:rPr>
          <w:rFonts w:hint="eastAsia" w:ascii="宋体" w:hAnsi="宋体" w:cs="宋体"/>
          <w:sz w:val="24"/>
          <w:szCs w:val="24"/>
        </w:rPr>
        <w:t>合同期限：此次项目完毕，通过验收合格交付使用，并完成合同中所规定的各项条款后，合同自行终止。</w:t>
      </w:r>
    </w:p>
    <w:p w14:paraId="18148C65">
      <w:pPr>
        <w:pStyle w:val="58"/>
        <w:spacing w:line="464" w:lineRule="exact"/>
        <w:rPr>
          <w:rFonts w:ascii="宋体" w:cs="宋体"/>
          <w:b/>
          <w:bCs/>
          <w:color w:val="auto"/>
        </w:rPr>
      </w:pPr>
      <w:r>
        <w:rPr>
          <w:rFonts w:ascii="宋体" w:hAnsi="宋体" w:cs="宋体"/>
          <w:b/>
          <w:bCs/>
          <w:color w:val="auto"/>
        </w:rPr>
        <w:t xml:space="preserve">7.4 </w:t>
      </w:r>
      <w:r>
        <w:rPr>
          <w:rFonts w:hint="eastAsia" w:ascii="宋体" w:hAnsi="宋体" w:cs="宋体"/>
          <w:b/>
          <w:bCs/>
          <w:color w:val="auto"/>
        </w:rPr>
        <w:t>质疑提出与答复</w:t>
      </w:r>
    </w:p>
    <w:p w14:paraId="675AC1AD">
      <w:pPr>
        <w:autoSpaceDE w:val="0"/>
        <w:spacing w:line="464" w:lineRule="exact"/>
        <w:ind w:firstLine="480" w:firstLineChars="200"/>
        <w:rPr>
          <w:rFonts w:ascii="宋体" w:cs="宋体"/>
          <w:sz w:val="24"/>
          <w:szCs w:val="24"/>
        </w:rPr>
      </w:pPr>
      <w:r>
        <w:rPr>
          <w:rFonts w:hint="eastAsia" w:ascii="宋体" w:hAnsi="宋体" w:cs="宋体"/>
          <w:sz w:val="24"/>
          <w:szCs w:val="24"/>
        </w:rPr>
        <w:t>供应商认为采购过程和中标结果使自己的权益受到损害的，可以按照财政部</w:t>
      </w:r>
      <w:r>
        <w:rPr>
          <w:rFonts w:ascii="宋体" w:hAnsi="宋体" w:cs="宋体"/>
          <w:sz w:val="24"/>
          <w:szCs w:val="24"/>
        </w:rPr>
        <w:t>94</w:t>
      </w:r>
      <w:r>
        <w:rPr>
          <w:rFonts w:hint="eastAsia" w:ascii="宋体" w:hAnsi="宋体" w:cs="宋体"/>
          <w:sz w:val="24"/>
          <w:szCs w:val="24"/>
        </w:rPr>
        <w:t>号令提出质疑。提出质疑的供应商应当是参与本项目采购活动的供应商。</w:t>
      </w:r>
    </w:p>
    <w:p w14:paraId="1FC4F286">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）对采购过程提出质疑的，为各采购程序环节结束之日起七个工作日内，以书面形式向采购人和采购代理机构一次性提出；</w:t>
      </w:r>
    </w:p>
    <w:p w14:paraId="6198CF00">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）对中标结果提出质疑的，为中标结果公告期限届满之日起七个工作日内，以书面形式向采购人和采购代理机构一次性提出。</w:t>
      </w:r>
    </w:p>
    <w:p w14:paraId="3E4A286A">
      <w:pPr>
        <w:autoSpaceDE w:val="0"/>
        <w:spacing w:line="464"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）逾期未提交或未按照要求提交的质疑函将不予受理（邮寄、传真件不予受理）。</w:t>
      </w:r>
    </w:p>
    <w:p w14:paraId="3DFD3630">
      <w:pPr>
        <w:pStyle w:val="3"/>
        <w:spacing w:line="464" w:lineRule="exact"/>
        <w:rPr>
          <w:rFonts w:hint="eastAsia" w:ascii="宋体" w:hAnsi="宋体" w:eastAsia="宋体"/>
          <w:sz w:val="24"/>
          <w:szCs w:val="24"/>
        </w:rPr>
      </w:pPr>
      <w:bookmarkStart w:id="268" w:name="_Toc152656717"/>
      <w:bookmarkStart w:id="269" w:name="_Toc7530_WPSOffice_Level2"/>
      <w:r>
        <w:rPr>
          <w:rFonts w:ascii="宋体" w:hAnsi="宋体" w:eastAsia="宋体" w:cs="宋体"/>
          <w:sz w:val="24"/>
          <w:szCs w:val="24"/>
        </w:rPr>
        <w:t xml:space="preserve">8. </w:t>
      </w:r>
      <w:r>
        <w:rPr>
          <w:rFonts w:hint="eastAsia" w:ascii="宋体" w:hAnsi="宋体" w:eastAsia="宋体" w:cs="宋体"/>
          <w:sz w:val="24"/>
          <w:szCs w:val="24"/>
        </w:rPr>
        <w:t>重新招标</w:t>
      </w:r>
      <w:bookmarkEnd w:id="259"/>
      <w:bookmarkEnd w:id="260"/>
      <w:bookmarkEnd w:id="261"/>
      <w:bookmarkEnd w:id="268"/>
      <w:bookmarkEnd w:id="269"/>
    </w:p>
    <w:p w14:paraId="36149473">
      <w:pPr>
        <w:spacing w:line="464" w:lineRule="exact"/>
        <w:rPr>
          <w:rFonts w:ascii="宋体" w:cs="宋体"/>
          <w:b/>
          <w:bCs/>
          <w:sz w:val="24"/>
          <w:szCs w:val="24"/>
        </w:rPr>
      </w:pPr>
      <w:bookmarkStart w:id="270" w:name="_Toc14031"/>
      <w:bookmarkEnd w:id="270"/>
      <w:bookmarkStart w:id="271" w:name="_Toc144974542"/>
      <w:bookmarkEnd w:id="271"/>
      <w:bookmarkStart w:id="272" w:name="_Toc152045574"/>
      <w:bookmarkEnd w:id="272"/>
      <w:bookmarkStart w:id="273" w:name="_Toc330304901"/>
      <w:bookmarkEnd w:id="273"/>
      <w:bookmarkStart w:id="274" w:name="_Toc152042350"/>
      <w:r>
        <w:rPr>
          <w:rFonts w:ascii="宋体" w:hAnsi="宋体" w:cs="宋体"/>
          <w:b/>
          <w:bCs/>
          <w:sz w:val="24"/>
          <w:szCs w:val="24"/>
        </w:rPr>
        <w:t>8.1</w:t>
      </w:r>
      <w:r>
        <w:rPr>
          <w:rFonts w:hint="eastAsia" w:ascii="宋体" w:hAnsi="宋体" w:cs="宋体"/>
          <w:b/>
          <w:bCs/>
          <w:sz w:val="24"/>
          <w:szCs w:val="24"/>
        </w:rPr>
        <w:t>有下列情形之一的，采购人将重新招标：</w:t>
      </w:r>
      <w:bookmarkEnd w:id="274"/>
    </w:p>
    <w:p w14:paraId="4E8FBE6B">
      <w:pPr>
        <w:spacing w:line="464" w:lineRule="exact"/>
        <w:ind w:firstLine="480" w:firstLineChars="200"/>
        <w:rPr>
          <w:rFonts w:ascii="宋体" w:cs="宋体"/>
          <w:sz w:val="24"/>
          <w:szCs w:val="24"/>
        </w:rPr>
      </w:pPr>
      <w:bookmarkStart w:id="275" w:name="_Toc13014"/>
      <w:bookmarkEnd w:id="275"/>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）磋商截止时间止，供应商少于</w:t>
      </w:r>
      <w:r>
        <w:rPr>
          <w:rFonts w:ascii="宋体" w:hAnsi="宋体" w:cs="宋体"/>
          <w:sz w:val="24"/>
          <w:szCs w:val="24"/>
        </w:rPr>
        <w:t xml:space="preserve">3 </w:t>
      </w:r>
      <w:r>
        <w:rPr>
          <w:rFonts w:hint="eastAsia" w:ascii="宋体" w:hAnsi="宋体" w:cs="宋体"/>
          <w:sz w:val="24"/>
          <w:szCs w:val="24"/>
        </w:rPr>
        <w:t>个的；</w:t>
      </w:r>
    </w:p>
    <w:p w14:paraId="7B88E303">
      <w:pPr>
        <w:spacing w:line="464" w:lineRule="exact"/>
        <w:ind w:firstLine="480" w:firstLineChars="200"/>
        <w:rPr>
          <w:rFonts w:ascii="宋体" w:cs="宋体"/>
          <w:sz w:val="24"/>
          <w:szCs w:val="24"/>
        </w:rPr>
      </w:pPr>
      <w:bookmarkStart w:id="276" w:name="_Toc19535"/>
      <w:bookmarkEnd w:id="276"/>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）经磋商小组评审后否决所有投标的。</w:t>
      </w:r>
    </w:p>
    <w:p w14:paraId="4D79E99E">
      <w:pPr>
        <w:spacing w:line="464" w:lineRule="exact"/>
        <w:ind w:firstLine="480" w:firstLineChars="200"/>
        <w:rPr>
          <w:rFonts w:ascii="宋体" w:cs="宋体"/>
          <w:sz w:val="24"/>
          <w:szCs w:val="24"/>
        </w:rPr>
      </w:pPr>
      <w:bookmarkStart w:id="277" w:name="_Toc21290"/>
      <w:bookmarkEnd w:id="277"/>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）磋商小组否决不合格投标或者界定为废标后，有效供应商不足</w:t>
      </w:r>
      <w:r>
        <w:rPr>
          <w:rFonts w:ascii="宋体" w:hAnsi="宋体" w:cs="宋体"/>
          <w:sz w:val="24"/>
          <w:szCs w:val="24"/>
        </w:rPr>
        <w:t>3</w:t>
      </w:r>
      <w:r>
        <w:rPr>
          <w:rFonts w:hint="eastAsia" w:ascii="宋体" w:hAnsi="宋体" w:cs="宋体"/>
          <w:sz w:val="24"/>
          <w:szCs w:val="24"/>
        </w:rPr>
        <w:t>个使得投标明显缺乏竞争的；</w:t>
      </w:r>
    </w:p>
    <w:p w14:paraId="5904323B">
      <w:pPr>
        <w:spacing w:line="464" w:lineRule="exact"/>
        <w:ind w:firstLine="480" w:firstLineChars="200"/>
        <w:rPr>
          <w:rFonts w:ascii="宋体" w:cs="宋体"/>
          <w:sz w:val="24"/>
          <w:szCs w:val="24"/>
        </w:rPr>
      </w:pPr>
      <w:bookmarkStart w:id="278" w:name="_Toc4344"/>
      <w:bookmarkEnd w:id="278"/>
      <w:bookmarkStart w:id="279" w:name="_Toc15327"/>
      <w:bookmarkEnd w:id="279"/>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）成交候选人均未与采购人签订合同的；</w:t>
      </w:r>
    </w:p>
    <w:p w14:paraId="1107E77D">
      <w:pPr>
        <w:spacing w:line="464" w:lineRule="exact"/>
        <w:ind w:firstLine="480" w:firstLineChars="200"/>
        <w:rPr>
          <w:rFonts w:hint="eastAsia" w:ascii="宋体" w:hAnsi="宋体" w:cs="宋体"/>
          <w:sz w:val="24"/>
          <w:szCs w:val="24"/>
        </w:rPr>
      </w:pPr>
      <w:bookmarkStart w:id="280" w:name="_Toc15339"/>
      <w:bookmarkEnd w:id="280"/>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）经行政主管部门查实，中标候选人均不具备中标资格或存在违规行为的。</w:t>
      </w:r>
    </w:p>
    <w:p w14:paraId="77486905">
      <w:pPr>
        <w:spacing w:line="464" w:lineRule="exact"/>
        <w:rPr>
          <w:rFonts w:hint="eastAsia"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8.2 不再招标</w:t>
      </w:r>
    </w:p>
    <w:p w14:paraId="2FF1D104">
      <w:pPr>
        <w:spacing w:line="464"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重新招标后供应商仍少于3个或者所有投标被否决的，属于必须审批或核准的项目，经原审批或核准部门批准后不再进行招标。</w:t>
      </w:r>
    </w:p>
    <w:p w14:paraId="6AEC4504">
      <w:pPr>
        <w:pStyle w:val="3"/>
        <w:spacing w:line="464" w:lineRule="exact"/>
        <w:rPr>
          <w:rFonts w:hint="eastAsia" w:ascii="宋体" w:hAnsi="宋体" w:eastAsia="宋体"/>
          <w:sz w:val="24"/>
          <w:szCs w:val="24"/>
        </w:rPr>
      </w:pPr>
      <w:bookmarkStart w:id="281" w:name="_Toc28787"/>
      <w:bookmarkEnd w:id="281"/>
      <w:bookmarkStart w:id="282" w:name="_Toc1496_WPSOffice_Level2"/>
      <w:bookmarkStart w:id="283" w:name="_Toc152656718"/>
      <w:bookmarkStart w:id="284" w:name="_Toc3764_WPSOffice_Level2"/>
      <w:bookmarkStart w:id="285" w:name="_Toc32649"/>
      <w:r>
        <w:rPr>
          <w:rFonts w:ascii="宋体" w:hAnsi="宋体" w:eastAsia="宋体" w:cs="宋体"/>
          <w:sz w:val="24"/>
          <w:szCs w:val="24"/>
        </w:rPr>
        <w:t xml:space="preserve">9. </w:t>
      </w:r>
      <w:r>
        <w:rPr>
          <w:rFonts w:hint="eastAsia" w:ascii="宋体" w:hAnsi="宋体" w:eastAsia="宋体" w:cs="宋体"/>
          <w:sz w:val="24"/>
          <w:szCs w:val="24"/>
        </w:rPr>
        <w:t>纪律和监督</w:t>
      </w:r>
      <w:bookmarkEnd w:id="282"/>
      <w:bookmarkEnd w:id="283"/>
      <w:bookmarkEnd w:id="284"/>
      <w:bookmarkEnd w:id="285"/>
    </w:p>
    <w:p w14:paraId="05209DFF">
      <w:pPr>
        <w:spacing w:line="464" w:lineRule="exact"/>
        <w:rPr>
          <w:rFonts w:ascii="宋体" w:cs="宋体"/>
          <w:b/>
          <w:bCs/>
          <w:sz w:val="24"/>
          <w:szCs w:val="24"/>
        </w:rPr>
      </w:pPr>
      <w:bookmarkStart w:id="286" w:name="_Toc325553595"/>
      <w:bookmarkEnd w:id="286"/>
      <w:bookmarkStart w:id="287" w:name="_Toc152045575"/>
      <w:bookmarkEnd w:id="287"/>
      <w:bookmarkStart w:id="288" w:name="_Toc330304902"/>
      <w:bookmarkEnd w:id="288"/>
      <w:bookmarkStart w:id="289" w:name="_Toc152042351"/>
      <w:bookmarkEnd w:id="289"/>
      <w:bookmarkStart w:id="290" w:name="_Toc144974543"/>
      <w:bookmarkEnd w:id="290"/>
      <w:bookmarkStart w:id="291" w:name="_Toc20484"/>
      <w:r>
        <w:rPr>
          <w:rFonts w:ascii="宋体" w:hAnsi="宋体" w:cs="宋体"/>
          <w:b/>
          <w:bCs/>
          <w:sz w:val="24"/>
          <w:szCs w:val="24"/>
        </w:rPr>
        <w:t xml:space="preserve">9.1 </w:t>
      </w:r>
      <w:r>
        <w:rPr>
          <w:rFonts w:hint="eastAsia" w:ascii="宋体" w:hAnsi="宋体" w:cs="宋体"/>
          <w:b/>
          <w:bCs/>
          <w:sz w:val="24"/>
          <w:szCs w:val="24"/>
        </w:rPr>
        <w:t>对采购人的纪律要求</w:t>
      </w:r>
      <w:bookmarkEnd w:id="291"/>
    </w:p>
    <w:p w14:paraId="4F59F6B5">
      <w:pPr>
        <w:spacing w:line="464" w:lineRule="exact"/>
        <w:ind w:firstLine="480" w:firstLineChars="200"/>
        <w:rPr>
          <w:rFonts w:ascii="宋体" w:cs="宋体"/>
          <w:sz w:val="24"/>
          <w:szCs w:val="24"/>
        </w:rPr>
      </w:pPr>
      <w:r>
        <w:rPr>
          <w:rFonts w:hint="eastAsia" w:ascii="宋体" w:hAnsi="宋体" w:cs="宋体"/>
          <w:sz w:val="24"/>
          <w:szCs w:val="24"/>
        </w:rPr>
        <w:t>采购人不得泄漏招标投标活动中应当保密的情况和资料，不得与供应商串通损害国家利益、社会公共利益或者他人合法权益。</w:t>
      </w:r>
    </w:p>
    <w:p w14:paraId="495A6B00">
      <w:pPr>
        <w:spacing w:line="464" w:lineRule="exact"/>
        <w:rPr>
          <w:rFonts w:ascii="宋体" w:cs="宋体"/>
          <w:b/>
          <w:bCs/>
          <w:sz w:val="24"/>
          <w:szCs w:val="24"/>
        </w:rPr>
      </w:pPr>
      <w:bookmarkStart w:id="292" w:name="_Toc152045576"/>
      <w:bookmarkEnd w:id="292"/>
      <w:bookmarkStart w:id="293" w:name="_Toc152042352"/>
      <w:bookmarkEnd w:id="293"/>
      <w:bookmarkStart w:id="294" w:name="_Toc144974544"/>
      <w:bookmarkEnd w:id="294"/>
      <w:bookmarkStart w:id="295" w:name="_Toc330304903"/>
      <w:bookmarkEnd w:id="295"/>
      <w:bookmarkStart w:id="296" w:name="_Toc325553596"/>
      <w:bookmarkEnd w:id="296"/>
      <w:bookmarkStart w:id="297" w:name="_Toc10311"/>
      <w:r>
        <w:rPr>
          <w:rFonts w:ascii="宋体" w:hAnsi="宋体" w:cs="宋体"/>
          <w:b/>
          <w:bCs/>
          <w:sz w:val="24"/>
          <w:szCs w:val="24"/>
        </w:rPr>
        <w:t xml:space="preserve">9.2 </w:t>
      </w:r>
      <w:r>
        <w:rPr>
          <w:rFonts w:hint="eastAsia" w:ascii="宋体" w:hAnsi="宋体" w:cs="宋体"/>
          <w:b/>
          <w:bCs/>
          <w:sz w:val="24"/>
          <w:szCs w:val="24"/>
        </w:rPr>
        <w:t>对供应商的纪律要求</w:t>
      </w:r>
      <w:bookmarkEnd w:id="297"/>
    </w:p>
    <w:p w14:paraId="2CC7B266">
      <w:pPr>
        <w:spacing w:line="464" w:lineRule="exact"/>
        <w:ind w:firstLine="480" w:firstLineChars="200"/>
        <w:rPr>
          <w:rFonts w:ascii="宋体" w:cs="宋体"/>
          <w:sz w:val="24"/>
          <w:szCs w:val="24"/>
        </w:rPr>
      </w:pPr>
      <w:r>
        <w:rPr>
          <w:rFonts w:hint="eastAsia" w:ascii="宋体" w:hAnsi="宋体" w:cs="宋体"/>
          <w:sz w:val="24"/>
          <w:szCs w:val="24"/>
        </w:rPr>
        <w:t>供应商不得相互串通投标或者与采购人串通投标，不得向采购人或者磋商小组成员行贿谋取中标，不得以他人名义投标或者以其他方式弄虚作假骗取中标；供应商不得以任何方式干扰、影响评标工作。</w:t>
      </w:r>
    </w:p>
    <w:p w14:paraId="0413ACE7">
      <w:pPr>
        <w:spacing w:line="464" w:lineRule="exact"/>
        <w:rPr>
          <w:rFonts w:ascii="宋体" w:cs="宋体"/>
          <w:b/>
          <w:bCs/>
          <w:sz w:val="24"/>
          <w:szCs w:val="24"/>
        </w:rPr>
      </w:pPr>
      <w:bookmarkStart w:id="298" w:name="_Toc325553597"/>
      <w:bookmarkEnd w:id="298"/>
      <w:bookmarkStart w:id="299" w:name="_Toc330304904"/>
      <w:bookmarkEnd w:id="299"/>
      <w:bookmarkStart w:id="300" w:name="_Toc152045577"/>
      <w:bookmarkEnd w:id="300"/>
      <w:bookmarkStart w:id="301" w:name="_Toc152042353"/>
      <w:bookmarkEnd w:id="301"/>
      <w:bookmarkStart w:id="302" w:name="_Toc144974545"/>
      <w:bookmarkEnd w:id="302"/>
      <w:bookmarkStart w:id="303" w:name="_Toc12108"/>
      <w:r>
        <w:rPr>
          <w:rFonts w:ascii="宋体" w:hAnsi="宋体" w:cs="宋体"/>
          <w:b/>
          <w:bCs/>
          <w:sz w:val="24"/>
          <w:szCs w:val="24"/>
        </w:rPr>
        <w:t xml:space="preserve">9.3 </w:t>
      </w:r>
      <w:r>
        <w:rPr>
          <w:rFonts w:hint="eastAsia" w:ascii="宋体" w:hAnsi="宋体" w:cs="宋体"/>
          <w:b/>
          <w:bCs/>
          <w:sz w:val="24"/>
          <w:szCs w:val="24"/>
        </w:rPr>
        <w:t>对磋商小组成员的纪律要求</w:t>
      </w:r>
      <w:bookmarkEnd w:id="303"/>
    </w:p>
    <w:p w14:paraId="01DCD617">
      <w:pPr>
        <w:spacing w:line="464" w:lineRule="exact"/>
        <w:ind w:firstLine="480" w:firstLineChars="200"/>
        <w:rPr>
          <w:rFonts w:ascii="宋体" w:cs="宋体"/>
          <w:sz w:val="24"/>
          <w:szCs w:val="24"/>
        </w:rPr>
      </w:pPr>
      <w:r>
        <w:rPr>
          <w:rFonts w:hint="eastAsia" w:ascii="宋体" w:hAnsi="宋体" w:cs="宋体"/>
          <w:sz w:val="24"/>
          <w:szCs w:val="24"/>
        </w:rPr>
        <w:t>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14:paraId="100DDE5D">
      <w:pPr>
        <w:spacing w:line="464" w:lineRule="exact"/>
        <w:rPr>
          <w:rFonts w:ascii="宋体" w:cs="宋体"/>
          <w:b/>
          <w:bCs/>
          <w:sz w:val="24"/>
          <w:szCs w:val="24"/>
        </w:rPr>
      </w:pPr>
      <w:bookmarkStart w:id="304" w:name="_Toc19648"/>
      <w:bookmarkEnd w:id="304"/>
      <w:bookmarkStart w:id="305" w:name="_Toc330304905"/>
      <w:bookmarkEnd w:id="305"/>
      <w:bookmarkStart w:id="306" w:name="_Toc152045578"/>
      <w:bookmarkEnd w:id="306"/>
      <w:bookmarkStart w:id="307" w:name="_Toc325553598"/>
      <w:bookmarkEnd w:id="307"/>
      <w:bookmarkStart w:id="308" w:name="_Toc152042354"/>
      <w:bookmarkEnd w:id="308"/>
      <w:bookmarkStart w:id="309" w:name="_Toc144974546"/>
      <w:r>
        <w:rPr>
          <w:rFonts w:ascii="宋体" w:hAnsi="宋体" w:cs="宋体"/>
          <w:b/>
          <w:bCs/>
          <w:sz w:val="24"/>
          <w:szCs w:val="24"/>
        </w:rPr>
        <w:t xml:space="preserve">9.4 </w:t>
      </w:r>
      <w:r>
        <w:rPr>
          <w:rFonts w:hint="eastAsia" w:ascii="宋体" w:hAnsi="宋体" w:cs="宋体"/>
          <w:b/>
          <w:bCs/>
          <w:sz w:val="24"/>
          <w:szCs w:val="24"/>
        </w:rPr>
        <w:t>对与评标活动有关的工作人员的纪律要求</w:t>
      </w:r>
      <w:bookmarkEnd w:id="309"/>
    </w:p>
    <w:p w14:paraId="7F185D7E">
      <w:pPr>
        <w:spacing w:line="464" w:lineRule="exact"/>
        <w:ind w:firstLine="480" w:firstLineChars="200"/>
        <w:rPr>
          <w:rFonts w:ascii="宋体" w:cs="宋体"/>
          <w:sz w:val="24"/>
          <w:szCs w:val="24"/>
        </w:rPr>
      </w:pPr>
      <w:bookmarkStart w:id="310" w:name="_Toc152042355"/>
      <w:bookmarkEnd w:id="310"/>
      <w:r>
        <w:rPr>
          <w:rFonts w:hint="eastAsia" w:ascii="宋体" w:hAnsi="宋体" w:cs="宋体"/>
          <w:sz w:val="24"/>
          <w:szCs w:val="24"/>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64C79518">
      <w:pPr>
        <w:spacing w:line="464" w:lineRule="exact"/>
        <w:rPr>
          <w:rFonts w:ascii="宋体" w:cs="宋体"/>
          <w:b/>
          <w:bCs/>
          <w:sz w:val="24"/>
          <w:szCs w:val="24"/>
        </w:rPr>
      </w:pPr>
      <w:bookmarkStart w:id="311" w:name="_Toc325553599"/>
      <w:bookmarkEnd w:id="311"/>
      <w:bookmarkStart w:id="312" w:name="_Toc330304906"/>
      <w:bookmarkEnd w:id="312"/>
      <w:bookmarkStart w:id="313" w:name="_Toc152042356"/>
      <w:bookmarkEnd w:id="313"/>
      <w:bookmarkStart w:id="314" w:name="_Toc152045579"/>
      <w:bookmarkEnd w:id="314"/>
      <w:bookmarkStart w:id="315" w:name="_Toc30481"/>
      <w:r>
        <w:rPr>
          <w:rFonts w:ascii="宋体" w:hAnsi="宋体" w:cs="宋体"/>
          <w:b/>
          <w:bCs/>
          <w:sz w:val="24"/>
          <w:szCs w:val="24"/>
        </w:rPr>
        <w:t xml:space="preserve">9.5 </w:t>
      </w:r>
      <w:r>
        <w:rPr>
          <w:rFonts w:hint="eastAsia" w:ascii="宋体" w:hAnsi="宋体" w:cs="宋体"/>
          <w:b/>
          <w:bCs/>
          <w:sz w:val="24"/>
          <w:szCs w:val="24"/>
        </w:rPr>
        <w:t>投诉</w:t>
      </w:r>
      <w:bookmarkEnd w:id="315"/>
    </w:p>
    <w:p w14:paraId="57AFB054">
      <w:pPr>
        <w:spacing w:line="464" w:lineRule="exact"/>
        <w:ind w:firstLine="480" w:firstLineChars="200"/>
        <w:rPr>
          <w:rFonts w:ascii="宋体" w:cs="宋体"/>
          <w:sz w:val="24"/>
          <w:szCs w:val="24"/>
        </w:rPr>
      </w:pPr>
      <w:r>
        <w:rPr>
          <w:rFonts w:hint="eastAsia" w:ascii="宋体" w:hAnsi="宋体" w:cs="宋体"/>
          <w:sz w:val="24"/>
          <w:szCs w:val="24"/>
        </w:rPr>
        <w:t>供应商和其他利害关系人认为本次招标活动违反法律、法规和规章规定的，有权向有关行政监督部门投诉。</w:t>
      </w:r>
    </w:p>
    <w:p w14:paraId="0A0C74F7">
      <w:pPr>
        <w:pStyle w:val="3"/>
        <w:spacing w:line="464" w:lineRule="exact"/>
        <w:rPr>
          <w:rFonts w:hint="eastAsia" w:ascii="宋体" w:hAnsi="宋体" w:eastAsia="宋体"/>
          <w:sz w:val="24"/>
          <w:szCs w:val="24"/>
        </w:rPr>
      </w:pPr>
      <w:bookmarkStart w:id="316" w:name="_Toc330304907"/>
      <w:bookmarkEnd w:id="316"/>
      <w:bookmarkStart w:id="317" w:name="_Toc144974547"/>
      <w:bookmarkEnd w:id="317"/>
      <w:bookmarkStart w:id="318" w:name="_Toc152042357"/>
      <w:bookmarkEnd w:id="318"/>
      <w:bookmarkStart w:id="319" w:name="_Toc152045580"/>
      <w:bookmarkEnd w:id="319"/>
      <w:bookmarkStart w:id="320" w:name="_Toc18718_WPSOffice_Level2"/>
      <w:bookmarkStart w:id="321" w:name="_Toc16179_WPSOffice_Level2"/>
      <w:bookmarkStart w:id="322" w:name="_Toc152656719"/>
      <w:bookmarkStart w:id="323" w:name="_Toc6211"/>
      <w:r>
        <w:rPr>
          <w:rFonts w:ascii="宋体" w:hAnsi="宋体" w:eastAsia="宋体" w:cs="宋体"/>
          <w:sz w:val="24"/>
          <w:szCs w:val="24"/>
        </w:rPr>
        <w:t xml:space="preserve">10. </w:t>
      </w:r>
      <w:r>
        <w:rPr>
          <w:rFonts w:hint="eastAsia" w:ascii="宋体" w:hAnsi="宋体" w:eastAsia="宋体" w:cs="宋体"/>
          <w:sz w:val="24"/>
          <w:szCs w:val="24"/>
        </w:rPr>
        <w:t>需要补充的其他内容</w:t>
      </w:r>
      <w:bookmarkEnd w:id="320"/>
      <w:bookmarkEnd w:id="321"/>
      <w:bookmarkEnd w:id="322"/>
      <w:bookmarkEnd w:id="323"/>
    </w:p>
    <w:p w14:paraId="1AEFD12B">
      <w:pPr>
        <w:spacing w:line="464" w:lineRule="exact"/>
        <w:ind w:firstLine="480" w:firstLineChars="200"/>
        <w:rPr>
          <w:rFonts w:ascii="宋体" w:cs="宋体"/>
          <w:sz w:val="24"/>
          <w:szCs w:val="24"/>
        </w:rPr>
      </w:pPr>
      <w:r>
        <w:rPr>
          <w:rFonts w:hint="eastAsia" w:ascii="宋体" w:hAnsi="宋体" w:cs="宋体"/>
          <w:sz w:val="24"/>
          <w:szCs w:val="24"/>
        </w:rPr>
        <w:t>需要补充的其他内容：见供应商须知前附表。</w:t>
      </w:r>
      <w:bookmarkStart w:id="324" w:name="_Toc20899"/>
    </w:p>
    <w:p w14:paraId="7D382341">
      <w:bookmarkStart w:id="325" w:name="_Toc8404_WPSOffice_Level1"/>
    </w:p>
    <w:p w14:paraId="6DAD5D23">
      <w:pPr>
        <w:pStyle w:val="2"/>
        <w:spacing w:line="240" w:lineRule="auto"/>
        <w:rPr>
          <w:rFonts w:cs="宋体"/>
          <w:sz w:val="40"/>
          <w:szCs w:val="40"/>
        </w:rPr>
      </w:pPr>
      <w:bookmarkStart w:id="326" w:name="_Toc31125"/>
      <w:bookmarkStart w:id="327" w:name="_Toc28968_WPSOffice_Level1"/>
      <w:r>
        <w:rPr>
          <w:rFonts w:cs="宋体"/>
        </w:rPr>
        <w:br w:type="page"/>
      </w:r>
      <w:bookmarkStart w:id="328" w:name="_Toc152656720"/>
      <w:r>
        <w:rPr>
          <w:rFonts w:hint="eastAsia" w:cs="宋体"/>
          <w:sz w:val="40"/>
          <w:szCs w:val="40"/>
        </w:rPr>
        <w:t>第三章 评标办法</w:t>
      </w:r>
      <w:bookmarkEnd w:id="324"/>
      <w:bookmarkEnd w:id="325"/>
      <w:bookmarkEnd w:id="326"/>
      <w:bookmarkEnd w:id="327"/>
      <w:bookmarkEnd w:id="328"/>
    </w:p>
    <w:p w14:paraId="2EDAF08A">
      <w:pPr>
        <w:pStyle w:val="3"/>
        <w:spacing w:line="400" w:lineRule="exact"/>
        <w:jc w:val="both"/>
        <w:rPr>
          <w:rFonts w:hint="eastAsia" w:ascii="宋体" w:hAnsi="宋体" w:eastAsia="宋体"/>
          <w:sz w:val="24"/>
          <w:szCs w:val="24"/>
        </w:rPr>
      </w:pPr>
      <w:bookmarkStart w:id="329" w:name="_Toc15272"/>
      <w:bookmarkStart w:id="330" w:name="_Toc28208"/>
      <w:bookmarkStart w:id="331" w:name="_Toc13238322"/>
      <w:bookmarkStart w:id="332" w:name="_Toc152656721"/>
      <w:bookmarkStart w:id="333" w:name="_Toc6374"/>
      <w:bookmarkStart w:id="334" w:name="_Toc13866_WPSOffice_Level2"/>
      <w:r>
        <w:rPr>
          <w:rFonts w:hint="eastAsia" w:ascii="宋体" w:hAnsi="宋体" w:eastAsia="宋体" w:cs="宋体"/>
          <w:sz w:val="24"/>
          <w:szCs w:val="24"/>
        </w:rPr>
        <w:t>一、资格</w:t>
      </w:r>
      <w:bookmarkEnd w:id="329"/>
      <w:bookmarkEnd w:id="330"/>
      <w:bookmarkEnd w:id="331"/>
      <w:r>
        <w:rPr>
          <w:rFonts w:hint="eastAsia" w:ascii="宋体" w:hAnsi="宋体" w:eastAsia="宋体" w:cs="宋体"/>
          <w:sz w:val="24"/>
          <w:szCs w:val="24"/>
        </w:rPr>
        <w:t>审查</w:t>
      </w:r>
      <w:bookmarkEnd w:id="332"/>
      <w:bookmarkEnd w:id="333"/>
      <w:bookmarkEnd w:id="334"/>
    </w:p>
    <w:tbl>
      <w:tblPr>
        <w:tblStyle w:val="2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2268"/>
        <w:gridCol w:w="6202"/>
      </w:tblGrid>
      <w:tr w14:paraId="6B7B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384" w:type="dxa"/>
            <w:noWrap/>
            <w:vAlign w:val="center"/>
          </w:tcPr>
          <w:p w14:paraId="204ABC78">
            <w:pPr>
              <w:spacing w:line="380" w:lineRule="exact"/>
              <w:jc w:val="center"/>
              <w:rPr>
                <w:rFonts w:ascii="宋体"/>
                <w:kern w:val="0"/>
                <w:sz w:val="24"/>
                <w:szCs w:val="24"/>
              </w:rPr>
            </w:pPr>
            <w:r>
              <w:rPr>
                <w:rFonts w:hint="eastAsia" w:ascii="宋体" w:hAnsi="宋体" w:cs="宋体"/>
                <w:kern w:val="0"/>
                <w:sz w:val="24"/>
                <w:szCs w:val="24"/>
              </w:rPr>
              <w:t>条款号</w:t>
            </w:r>
          </w:p>
        </w:tc>
        <w:tc>
          <w:tcPr>
            <w:tcW w:w="2268" w:type="dxa"/>
            <w:noWrap/>
            <w:vAlign w:val="center"/>
          </w:tcPr>
          <w:p w14:paraId="6E2D155E">
            <w:pPr>
              <w:spacing w:line="380" w:lineRule="exact"/>
              <w:jc w:val="center"/>
              <w:rPr>
                <w:rFonts w:ascii="宋体"/>
                <w:kern w:val="0"/>
                <w:sz w:val="24"/>
                <w:szCs w:val="24"/>
              </w:rPr>
            </w:pPr>
            <w:r>
              <w:rPr>
                <w:rFonts w:hint="eastAsia" w:ascii="宋体" w:hAnsi="宋体" w:cs="宋体"/>
                <w:kern w:val="0"/>
                <w:sz w:val="24"/>
                <w:szCs w:val="24"/>
              </w:rPr>
              <w:t>评审因素</w:t>
            </w:r>
          </w:p>
        </w:tc>
        <w:tc>
          <w:tcPr>
            <w:tcW w:w="6202" w:type="dxa"/>
            <w:noWrap/>
            <w:vAlign w:val="center"/>
          </w:tcPr>
          <w:p w14:paraId="5299A5D1">
            <w:pPr>
              <w:spacing w:line="380" w:lineRule="exact"/>
              <w:jc w:val="center"/>
              <w:rPr>
                <w:rFonts w:ascii="宋体"/>
                <w:kern w:val="0"/>
                <w:sz w:val="24"/>
                <w:szCs w:val="24"/>
              </w:rPr>
            </w:pPr>
            <w:r>
              <w:rPr>
                <w:rFonts w:hint="eastAsia" w:ascii="宋体" w:hAnsi="宋体" w:cs="宋体"/>
                <w:kern w:val="0"/>
                <w:sz w:val="24"/>
                <w:szCs w:val="24"/>
              </w:rPr>
              <w:t>评审标准</w:t>
            </w:r>
          </w:p>
        </w:tc>
      </w:tr>
      <w:tr w14:paraId="0AA7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restart"/>
            <w:noWrap/>
            <w:vAlign w:val="center"/>
          </w:tcPr>
          <w:p w14:paraId="6EAF09FE">
            <w:pPr>
              <w:spacing w:line="380" w:lineRule="exact"/>
              <w:jc w:val="center"/>
              <w:rPr>
                <w:rFonts w:ascii="宋体"/>
                <w:sz w:val="24"/>
                <w:szCs w:val="24"/>
              </w:rPr>
            </w:pPr>
            <w:r>
              <w:rPr>
                <w:rFonts w:hint="eastAsia" w:ascii="宋体" w:hAnsi="宋体" w:cs="宋体"/>
                <w:sz w:val="24"/>
                <w:szCs w:val="24"/>
              </w:rPr>
              <w:t>资格评审标准</w:t>
            </w:r>
          </w:p>
        </w:tc>
        <w:tc>
          <w:tcPr>
            <w:tcW w:w="2268" w:type="dxa"/>
            <w:noWrap/>
            <w:vAlign w:val="center"/>
          </w:tcPr>
          <w:p w14:paraId="4C1F3ACD">
            <w:pPr>
              <w:pStyle w:val="58"/>
              <w:spacing w:line="380" w:lineRule="exact"/>
              <w:jc w:val="center"/>
              <w:rPr>
                <w:rFonts w:hint="eastAsia" w:ascii="宋体" w:hAnsi="宋体" w:cs="宋体"/>
                <w:color w:val="auto"/>
              </w:rPr>
            </w:pPr>
            <w:r>
              <w:rPr>
                <w:rFonts w:ascii="宋体" w:hAnsi="宋体" w:cs="宋体"/>
                <w:color w:val="auto"/>
              </w:rPr>
              <w:t>无重大违法记录的书面声明</w:t>
            </w:r>
          </w:p>
        </w:tc>
        <w:tc>
          <w:tcPr>
            <w:tcW w:w="6202" w:type="dxa"/>
            <w:noWrap/>
            <w:vAlign w:val="center"/>
          </w:tcPr>
          <w:p w14:paraId="651FA91B">
            <w:pPr>
              <w:spacing w:line="380" w:lineRule="exact"/>
              <w:jc w:val="left"/>
              <w:rPr>
                <w:rFonts w:ascii="宋体"/>
                <w:color w:val="000000" w:themeColor="text1"/>
                <w:kern w:val="0"/>
                <w:sz w:val="24"/>
                <w:szCs w:val="24"/>
                <w14:textFill>
                  <w14:solidFill>
                    <w14:schemeClr w14:val="tx1"/>
                  </w14:solidFill>
                </w14:textFill>
              </w:rPr>
            </w:pPr>
            <w:r>
              <w:rPr>
                <w:rFonts w:ascii="宋体"/>
                <w:color w:val="000000" w:themeColor="text1"/>
                <w:kern w:val="0"/>
                <w:sz w:val="24"/>
                <w:szCs w:val="24"/>
                <w14:textFill>
                  <w14:solidFill>
                    <w14:schemeClr w14:val="tx1"/>
                  </w14:solidFill>
                </w14:textFill>
              </w:rPr>
              <w:t>重大违法记录，是指供应商因违法经营受到刑事处罚或者责令停产停业、吊销许可证或者执照、较大数额罚款等行政处罚（具体内容以系统内格式为准）</w:t>
            </w:r>
          </w:p>
        </w:tc>
      </w:tr>
      <w:tr w14:paraId="5042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514618B0">
            <w:pPr>
              <w:spacing w:line="380" w:lineRule="exact"/>
              <w:jc w:val="center"/>
              <w:rPr>
                <w:rFonts w:hint="eastAsia" w:ascii="宋体" w:hAnsi="宋体" w:cs="宋体"/>
                <w:sz w:val="24"/>
                <w:szCs w:val="24"/>
              </w:rPr>
            </w:pPr>
          </w:p>
        </w:tc>
        <w:tc>
          <w:tcPr>
            <w:tcW w:w="2268" w:type="dxa"/>
            <w:noWrap/>
            <w:vAlign w:val="center"/>
          </w:tcPr>
          <w:p w14:paraId="092DFE25">
            <w:pPr>
              <w:pStyle w:val="58"/>
              <w:spacing w:line="380" w:lineRule="exact"/>
              <w:jc w:val="center"/>
              <w:rPr>
                <w:rFonts w:hint="eastAsia" w:ascii="宋体" w:hAnsi="宋体" w:cs="宋体"/>
                <w:color w:val="auto"/>
              </w:rPr>
            </w:pPr>
            <w:r>
              <w:rPr>
                <w:rFonts w:ascii="宋体" w:hAnsi="宋体" w:cs="宋体"/>
                <w:color w:val="auto"/>
              </w:rPr>
              <w:t>无行政或经济关联的书面声明</w:t>
            </w:r>
          </w:p>
        </w:tc>
        <w:tc>
          <w:tcPr>
            <w:tcW w:w="6202" w:type="dxa"/>
            <w:noWrap/>
            <w:vAlign w:val="center"/>
          </w:tcPr>
          <w:p w14:paraId="447B7BA0">
            <w:pPr>
              <w:pStyle w:val="58"/>
              <w:spacing w:line="380" w:lineRule="exact"/>
              <w:rPr>
                <w:rFonts w:hint="eastAsia" w:ascii="宋体" w:hAnsi="宋体" w:cs="宋体"/>
                <w:color w:val="auto"/>
              </w:rPr>
            </w:pPr>
            <w:r>
              <w:rPr>
                <w:rFonts w:ascii="宋体" w:hAnsi="宋体" w:cs="宋体"/>
                <w:color w:val="auto"/>
              </w:rPr>
              <w:t>与采购人或采购人就本次采购的服务委托的采购代理机构及其附属机构没有行政或经济关联的书面声明（具体内容以系统内格式为准）</w:t>
            </w:r>
          </w:p>
        </w:tc>
      </w:tr>
      <w:tr w14:paraId="6A842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242B1DF2">
            <w:pPr>
              <w:spacing w:line="380" w:lineRule="exact"/>
              <w:jc w:val="center"/>
              <w:rPr>
                <w:rFonts w:hint="eastAsia" w:ascii="宋体" w:hAnsi="宋体" w:cs="宋体"/>
                <w:sz w:val="24"/>
                <w:szCs w:val="24"/>
              </w:rPr>
            </w:pPr>
          </w:p>
        </w:tc>
        <w:tc>
          <w:tcPr>
            <w:tcW w:w="2268" w:type="dxa"/>
            <w:noWrap/>
            <w:vAlign w:val="center"/>
          </w:tcPr>
          <w:p w14:paraId="2528930D">
            <w:pPr>
              <w:pStyle w:val="58"/>
              <w:spacing w:line="380" w:lineRule="exact"/>
              <w:jc w:val="center"/>
              <w:rPr>
                <w:rFonts w:hint="eastAsia" w:ascii="宋体" w:hAnsi="宋体" w:cs="宋体"/>
                <w:color w:val="auto"/>
              </w:rPr>
            </w:pPr>
            <w:r>
              <w:rPr>
                <w:rFonts w:ascii="宋体" w:hAnsi="宋体" w:cs="宋体"/>
                <w:color w:val="auto"/>
              </w:rPr>
              <w:t>无财政部门列入不良行为记录名单的承诺函</w:t>
            </w:r>
          </w:p>
        </w:tc>
        <w:tc>
          <w:tcPr>
            <w:tcW w:w="6202" w:type="dxa"/>
            <w:noWrap/>
            <w:vAlign w:val="center"/>
          </w:tcPr>
          <w:p w14:paraId="209E0DCD">
            <w:pPr>
              <w:pStyle w:val="58"/>
              <w:spacing w:line="380" w:lineRule="exact"/>
              <w:rPr>
                <w:rFonts w:hint="eastAsia" w:ascii="宋体" w:hAnsi="宋体" w:cs="宋体"/>
                <w:color w:val="auto"/>
              </w:rPr>
            </w:pPr>
            <w:r>
              <w:rPr>
                <w:rFonts w:ascii="宋体" w:hAnsi="宋体" w:cs="宋体"/>
                <w:color w:val="auto"/>
              </w:rPr>
              <w:t xml:space="preserve">符合《政府采购质疑和投诉办法》第三十七条规定，未被财政部门列入不良行为记录名单的承诺函（具体内容以系统内格式为准） </w:t>
            </w:r>
          </w:p>
        </w:tc>
      </w:tr>
      <w:tr w14:paraId="503B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6BEBE00A">
            <w:pPr>
              <w:spacing w:line="380" w:lineRule="exact"/>
              <w:jc w:val="center"/>
              <w:rPr>
                <w:rFonts w:hint="eastAsia" w:ascii="宋体" w:hAnsi="宋体" w:cs="宋体"/>
                <w:sz w:val="24"/>
                <w:szCs w:val="24"/>
              </w:rPr>
            </w:pPr>
          </w:p>
        </w:tc>
        <w:tc>
          <w:tcPr>
            <w:tcW w:w="2268" w:type="dxa"/>
            <w:noWrap/>
            <w:vAlign w:val="center"/>
          </w:tcPr>
          <w:p w14:paraId="52FED738">
            <w:pPr>
              <w:widowControl/>
              <w:jc w:val="center"/>
              <w:rPr>
                <w:rFonts w:hint="eastAsia" w:ascii="宋体" w:hAnsi="宋体" w:cs="宋体"/>
              </w:rPr>
            </w:pPr>
            <w:r>
              <w:rPr>
                <w:rFonts w:hint="eastAsia" w:ascii="宋体" w:hAnsi="宋体" w:cs="宋体"/>
                <w:kern w:val="0"/>
                <w:sz w:val="24"/>
                <w:szCs w:val="24"/>
              </w:rPr>
              <w:t>资格承诺声明函</w:t>
            </w:r>
          </w:p>
        </w:tc>
        <w:tc>
          <w:tcPr>
            <w:tcW w:w="6202" w:type="dxa"/>
            <w:noWrap/>
            <w:vAlign w:val="center"/>
          </w:tcPr>
          <w:p w14:paraId="1593554A">
            <w:pPr>
              <w:pStyle w:val="58"/>
              <w:spacing w:line="380" w:lineRule="exact"/>
              <w:rPr>
                <w:rFonts w:hint="eastAsia" w:ascii="宋体" w:hAnsi="宋体" w:cs="宋体"/>
                <w:color w:val="auto"/>
              </w:rPr>
            </w:pPr>
            <w:r>
              <w:rPr>
                <w:rFonts w:hint="eastAsia" w:ascii="宋体" w:hAnsi="宋体" w:cs="宋体"/>
                <w:color w:val="auto"/>
              </w:rPr>
              <w:t>符合竞争性磋商文件规定（</w:t>
            </w:r>
            <w:r>
              <w:rPr>
                <w:rFonts w:ascii="宋体" w:hAnsi="宋体" w:cs="宋体"/>
                <w:color w:val="auto"/>
              </w:rPr>
              <w:t>具体内容以系统内格式为准</w:t>
            </w:r>
            <w:r>
              <w:rPr>
                <w:rFonts w:hint="eastAsia" w:ascii="宋体" w:hAnsi="宋体" w:cs="宋体"/>
                <w:color w:val="auto"/>
              </w:rPr>
              <w:t>）</w:t>
            </w:r>
          </w:p>
        </w:tc>
      </w:tr>
      <w:tr w14:paraId="6470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1E20C377">
            <w:pPr>
              <w:spacing w:line="380" w:lineRule="exact"/>
              <w:jc w:val="center"/>
              <w:rPr>
                <w:rFonts w:hint="eastAsia" w:ascii="宋体" w:hAnsi="宋体" w:cs="宋体"/>
                <w:sz w:val="24"/>
                <w:szCs w:val="24"/>
              </w:rPr>
            </w:pPr>
          </w:p>
        </w:tc>
        <w:tc>
          <w:tcPr>
            <w:tcW w:w="2268" w:type="dxa"/>
            <w:noWrap/>
            <w:vAlign w:val="center"/>
          </w:tcPr>
          <w:p w14:paraId="69F766F9">
            <w:pPr>
              <w:pStyle w:val="58"/>
              <w:spacing w:line="380" w:lineRule="exact"/>
              <w:jc w:val="center"/>
              <w:rPr>
                <w:rFonts w:ascii="宋体"/>
                <w:b/>
                <w:bCs/>
                <w:color w:val="auto"/>
              </w:rPr>
            </w:pPr>
            <w:r>
              <w:rPr>
                <w:rFonts w:hint="eastAsia" w:ascii="宋体" w:hAnsi="宋体" w:cs="宋体"/>
                <w:color w:val="auto"/>
              </w:rPr>
              <w:t>营业执照</w:t>
            </w:r>
          </w:p>
        </w:tc>
        <w:tc>
          <w:tcPr>
            <w:tcW w:w="6202" w:type="dxa"/>
            <w:noWrap/>
            <w:vAlign w:val="center"/>
          </w:tcPr>
          <w:p w14:paraId="533647E1">
            <w:pPr>
              <w:spacing w:line="380" w:lineRule="exact"/>
              <w:jc w:val="left"/>
              <w:rPr>
                <w:rFonts w:ascii="宋体"/>
                <w:kern w:val="0"/>
                <w:sz w:val="24"/>
                <w:szCs w:val="24"/>
              </w:rPr>
            </w:pPr>
            <w:r>
              <w:rPr>
                <w:rFonts w:ascii="宋体" w:hAnsi="宋体" w:cs="宋体"/>
                <w:sz w:val="24"/>
                <w:szCs w:val="24"/>
              </w:rPr>
              <w:t>具有有效的营业执照或其他证明材料</w:t>
            </w:r>
          </w:p>
        </w:tc>
      </w:tr>
      <w:tr w14:paraId="1AA4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48E0E5CE">
            <w:pPr>
              <w:spacing w:line="380" w:lineRule="exact"/>
              <w:jc w:val="center"/>
              <w:rPr>
                <w:rFonts w:hint="eastAsia" w:ascii="宋体" w:hAnsi="宋体" w:cs="宋体"/>
                <w:sz w:val="24"/>
                <w:szCs w:val="24"/>
              </w:rPr>
            </w:pPr>
          </w:p>
        </w:tc>
        <w:tc>
          <w:tcPr>
            <w:tcW w:w="2268" w:type="dxa"/>
            <w:noWrap/>
            <w:vAlign w:val="center"/>
          </w:tcPr>
          <w:p w14:paraId="76DCDF42">
            <w:pPr>
              <w:pStyle w:val="58"/>
              <w:spacing w:line="380" w:lineRule="exact"/>
              <w:jc w:val="center"/>
              <w:rPr>
                <w:rFonts w:ascii="宋体"/>
                <w:color w:val="auto"/>
              </w:rPr>
            </w:pPr>
            <w:r>
              <w:rPr>
                <w:rFonts w:hint="eastAsia" w:ascii="宋体" w:hAnsi="宋体" w:cs="宋体"/>
                <w:color w:val="auto"/>
              </w:rPr>
              <w:t>近年财务状况表</w:t>
            </w:r>
          </w:p>
        </w:tc>
        <w:tc>
          <w:tcPr>
            <w:tcW w:w="6202" w:type="dxa"/>
            <w:noWrap/>
            <w:vAlign w:val="center"/>
          </w:tcPr>
          <w:p w14:paraId="126DD580">
            <w:pPr>
              <w:spacing w:line="380" w:lineRule="exact"/>
              <w:jc w:val="left"/>
              <w:rPr>
                <w:rFonts w:ascii="宋体"/>
                <w:color w:val="000000" w:themeColor="text1"/>
                <w:kern w:val="0"/>
                <w:sz w:val="24"/>
                <w:szCs w:val="24"/>
                <w14:textFill>
                  <w14:solidFill>
                    <w14:schemeClr w14:val="tx1"/>
                  </w14:solidFill>
                </w14:textFill>
              </w:rPr>
            </w:pPr>
            <w:r>
              <w:rPr>
                <w:rFonts w:hint="eastAsia" w:ascii="宋体" w:hAnsi="宋体" w:cs="宋体"/>
                <w:sz w:val="24"/>
                <w:szCs w:val="24"/>
                <w:shd w:val="clear" w:color="auto" w:fill="FFFFFF"/>
              </w:rPr>
              <w:t>具有健全的财务会计制度，无不良债务，财务没有被接管、冻结、破产状态，提供2024年度经会计事务所或第三方审计机构审计的财务审计报告（财务审计报告包含资产负债表、利润表、现金流量表和财务报表附注，即“三表一注”，且须有注册会计师签字、盖注册章，新成立公司不具备出具财务审计报告的提供银行出具的资信证明）。</w:t>
            </w:r>
          </w:p>
        </w:tc>
      </w:tr>
      <w:tr w14:paraId="588F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2A3747AB">
            <w:pPr>
              <w:spacing w:line="380" w:lineRule="exact"/>
              <w:jc w:val="center"/>
              <w:rPr>
                <w:rFonts w:hint="eastAsia" w:ascii="宋体" w:hAnsi="宋体" w:cs="宋体"/>
                <w:sz w:val="24"/>
                <w:szCs w:val="24"/>
              </w:rPr>
            </w:pPr>
          </w:p>
        </w:tc>
        <w:tc>
          <w:tcPr>
            <w:tcW w:w="2268" w:type="dxa"/>
            <w:noWrap/>
            <w:vAlign w:val="center"/>
          </w:tcPr>
          <w:p w14:paraId="25C5298A">
            <w:pPr>
              <w:pStyle w:val="58"/>
              <w:spacing w:line="380" w:lineRule="exact"/>
              <w:jc w:val="center"/>
              <w:rPr>
                <w:rFonts w:ascii="宋体"/>
                <w:color w:val="auto"/>
              </w:rPr>
            </w:pPr>
            <w:r>
              <w:rPr>
                <w:rFonts w:hint="eastAsia" w:ascii="宋体" w:hAnsi="宋体" w:cs="宋体"/>
                <w:color w:val="auto"/>
                <w:shd w:val="clear" w:color="auto" w:fill="FFFFFF"/>
              </w:rPr>
              <w:t>依法缴纳税收和社会保障资金证明材料</w:t>
            </w:r>
          </w:p>
        </w:tc>
        <w:tc>
          <w:tcPr>
            <w:tcW w:w="6202" w:type="dxa"/>
            <w:noWrap/>
            <w:vAlign w:val="center"/>
          </w:tcPr>
          <w:p w14:paraId="17D75260">
            <w:pPr>
              <w:spacing w:line="380" w:lineRule="exact"/>
              <w:jc w:val="left"/>
              <w:rPr>
                <w:rFonts w:hint="eastAsia" w:ascii="宋体" w:hAnsi="宋体" w:cs="宋体"/>
                <w:sz w:val="24"/>
                <w:szCs w:val="24"/>
              </w:rPr>
            </w:pPr>
            <w:r>
              <w:rPr>
                <w:rFonts w:hint="eastAsia" w:ascii="宋体" w:hAnsi="宋体" w:cs="宋体"/>
                <w:sz w:val="24"/>
                <w:szCs w:val="24"/>
              </w:rPr>
              <w:t>（1）供应商2025年1月1日以来任意一个月依法缴纳税收的相关材料（新成立企业从成立之日起计算，依法免税的供应商，应提供相应行政部门出具的证明文件，证明其依法免税）。</w:t>
            </w:r>
          </w:p>
          <w:p w14:paraId="3A7FEC0A">
            <w:pPr>
              <w:spacing w:line="380" w:lineRule="exact"/>
              <w:jc w:val="left"/>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供应商2025年1月1日以来任意一个月依法缴纳社会保障资金的相关材料（新成立企业从成立之日起计算，依法不需要缴纳社会保障资金的供应商，应提供相应行政部门出具的证明文件，证明其依法不需要缴纳社会保障资金）。</w:t>
            </w:r>
          </w:p>
        </w:tc>
      </w:tr>
      <w:tr w14:paraId="63FD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04ECAC7C">
            <w:pPr>
              <w:spacing w:line="380" w:lineRule="exact"/>
              <w:jc w:val="center"/>
              <w:rPr>
                <w:rFonts w:hint="eastAsia" w:ascii="宋体" w:hAnsi="宋体" w:cs="宋体"/>
                <w:sz w:val="24"/>
                <w:szCs w:val="24"/>
              </w:rPr>
            </w:pPr>
          </w:p>
        </w:tc>
        <w:tc>
          <w:tcPr>
            <w:tcW w:w="2268" w:type="dxa"/>
            <w:noWrap/>
            <w:vAlign w:val="center"/>
          </w:tcPr>
          <w:p w14:paraId="06A1CCFE">
            <w:pPr>
              <w:pStyle w:val="58"/>
              <w:spacing w:line="380" w:lineRule="exact"/>
              <w:jc w:val="center"/>
              <w:rPr>
                <w:rFonts w:ascii="宋体"/>
                <w:b/>
                <w:bCs/>
                <w:color w:val="auto"/>
              </w:rPr>
            </w:pPr>
            <w:r>
              <w:rPr>
                <w:rFonts w:hint="eastAsia" w:ascii="宋体" w:hAnsi="宋体" w:cs="宋体"/>
                <w:color w:val="auto"/>
              </w:rPr>
              <w:t>履行合同所必须的设备和专业技术能力的证明材料</w:t>
            </w:r>
          </w:p>
        </w:tc>
        <w:tc>
          <w:tcPr>
            <w:tcW w:w="6202" w:type="dxa"/>
            <w:noWrap/>
            <w:vAlign w:val="center"/>
          </w:tcPr>
          <w:p w14:paraId="0841EBBE">
            <w:pPr>
              <w:spacing w:line="380" w:lineRule="exact"/>
              <w:jc w:val="left"/>
              <w:rPr>
                <w:rFonts w:ascii="宋体"/>
                <w:kern w:val="0"/>
                <w:sz w:val="24"/>
                <w:szCs w:val="24"/>
              </w:rPr>
            </w:pPr>
            <w:r>
              <w:rPr>
                <w:rFonts w:hint="eastAsia" w:ascii="宋体" w:hAnsi="宋体" w:cs="宋体"/>
                <w:kern w:val="0"/>
                <w:sz w:val="24"/>
                <w:szCs w:val="24"/>
              </w:rPr>
              <w:t>提供具备履行合同所必须的设备和专业技术能力的证明材料（内容及格式自拟）。</w:t>
            </w:r>
          </w:p>
        </w:tc>
      </w:tr>
      <w:tr w14:paraId="7712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384" w:type="dxa"/>
            <w:vMerge w:val="continue"/>
            <w:noWrap/>
            <w:vAlign w:val="center"/>
          </w:tcPr>
          <w:p w14:paraId="10002922">
            <w:pPr>
              <w:spacing w:line="380" w:lineRule="exact"/>
              <w:jc w:val="center"/>
              <w:rPr>
                <w:rFonts w:hint="eastAsia" w:ascii="宋体" w:hAnsi="宋体" w:cs="宋体"/>
                <w:sz w:val="24"/>
                <w:szCs w:val="24"/>
              </w:rPr>
            </w:pPr>
          </w:p>
        </w:tc>
        <w:tc>
          <w:tcPr>
            <w:tcW w:w="2268" w:type="dxa"/>
            <w:noWrap/>
            <w:vAlign w:val="center"/>
          </w:tcPr>
          <w:p w14:paraId="7136BACA">
            <w:pPr>
              <w:pStyle w:val="58"/>
              <w:spacing w:line="380" w:lineRule="exact"/>
              <w:jc w:val="center"/>
              <w:rPr>
                <w:rFonts w:hint="eastAsia" w:ascii="宋体" w:hAnsi="宋体" w:cs="宋体"/>
                <w:color w:val="auto"/>
              </w:rPr>
            </w:pPr>
            <w:r>
              <w:rPr>
                <w:rFonts w:hint="eastAsia" w:ascii="宋体" w:hAnsi="宋体" w:cs="宋体"/>
              </w:rPr>
              <w:t>信用记录</w:t>
            </w:r>
          </w:p>
        </w:tc>
        <w:tc>
          <w:tcPr>
            <w:tcW w:w="6202" w:type="dxa"/>
            <w:noWrap/>
            <w:vAlign w:val="center"/>
          </w:tcPr>
          <w:p w14:paraId="5BA8D57C">
            <w:pPr>
              <w:pStyle w:val="58"/>
              <w:spacing w:line="380" w:lineRule="exact"/>
              <w:rPr>
                <w:rFonts w:hint="eastAsia" w:ascii="宋体" w:hAnsi="宋体" w:cs="宋体"/>
                <w:color w:val="auto"/>
              </w:rPr>
            </w:pPr>
            <w:r>
              <w:rPr>
                <w:rFonts w:ascii="宋体" w:hAnsi="宋体" w:cs="宋体"/>
                <w:kern w:val="2"/>
              </w:rPr>
              <w:t>被列入“中国执行信息公开网”的“失信被执行人”、“信用中国”的“重大税收违法失信主体”和“中国政府采购网”的“政府采购严重违法失信行为记录名单”中的任何一个名单内的供应商将被拒绝参与本项目政府采购活动。信用记录查询渠道：“中国执行信息公开网”（zxgk.court.gov.cn）、“信用中国”(www.creditchina.gov.cn)和“中国政府采购网”(www.ccgp.gov.cn)。信用信息查询的截止时间点：自竞争性磋商公告发布之日起至响应文件提交截止时间止。信用证据留存的具体方式：由供应商将查询结果截图附在响应文件内；在竞争性磋商文件规定的查询时间之后，网站信息发生的任何变更均不再作为评审依据，供应商自行提供的与网站信息不一致的证明材料亦不作为评审依据。</w:t>
            </w:r>
          </w:p>
        </w:tc>
      </w:tr>
      <w:tr w14:paraId="3021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1" w:hRule="atLeast"/>
          <w:jc w:val="center"/>
        </w:trPr>
        <w:tc>
          <w:tcPr>
            <w:tcW w:w="9854" w:type="dxa"/>
            <w:gridSpan w:val="3"/>
            <w:noWrap/>
            <w:vAlign w:val="center"/>
          </w:tcPr>
          <w:p w14:paraId="2BC8DA95">
            <w:pPr>
              <w:spacing w:line="460" w:lineRule="exact"/>
              <w:ind w:right="420" w:rightChars="200" w:firstLine="480" w:firstLineChars="200"/>
              <w:rPr>
                <w:rFonts w:ascii="宋体"/>
                <w:sz w:val="24"/>
                <w:szCs w:val="24"/>
                <w:lang w:val="zh-CN"/>
              </w:rPr>
            </w:pPr>
            <w:r>
              <w:rPr>
                <w:rFonts w:hint="eastAsia" w:ascii="宋体" w:hAnsi="宋体" w:cs="宋体"/>
                <w:sz w:val="24"/>
                <w:szCs w:val="24"/>
                <w:lang w:val="zh-CN"/>
              </w:rPr>
              <w:t>备注：（</w:t>
            </w:r>
            <w:r>
              <w:rPr>
                <w:rFonts w:hint="eastAsia" w:ascii="宋体" w:hAnsi="宋体" w:cs="宋体"/>
                <w:sz w:val="24"/>
                <w:szCs w:val="24"/>
              </w:rPr>
              <w:t>1</w:t>
            </w:r>
            <w:r>
              <w:rPr>
                <w:rFonts w:hint="eastAsia" w:ascii="宋体" w:hAnsi="宋体" w:cs="宋体"/>
                <w:sz w:val="24"/>
                <w:szCs w:val="24"/>
                <w:lang w:val="zh-CN"/>
              </w:rPr>
              <w:t>）电子化评标时，评分办法中所涉及到的证书及材料</w:t>
            </w:r>
            <w:r>
              <w:rPr>
                <w:rFonts w:ascii="宋体" w:hAnsi="宋体" w:cs="宋体"/>
                <w:sz w:val="24"/>
                <w:szCs w:val="24"/>
              </w:rPr>
              <w:t>均须在电子响应文件中提供原件扫描件（或图片）</w:t>
            </w:r>
            <w:r>
              <w:rPr>
                <w:rFonts w:hint="eastAsia" w:ascii="宋体" w:hAnsi="宋体" w:cs="宋体"/>
                <w:sz w:val="24"/>
                <w:szCs w:val="24"/>
              </w:rPr>
              <w:t>，</w:t>
            </w:r>
            <w:r>
              <w:rPr>
                <w:rFonts w:ascii="宋体" w:hAnsi="宋体" w:cs="宋体"/>
                <w:sz w:val="24"/>
                <w:szCs w:val="24"/>
              </w:rPr>
              <w:t>材料必须是清晰、完整的</w:t>
            </w:r>
            <w:r>
              <w:rPr>
                <w:rFonts w:hint="eastAsia" w:ascii="宋体" w:hAnsi="宋体" w:cs="宋体"/>
                <w:sz w:val="24"/>
                <w:szCs w:val="24"/>
                <w:lang w:val="zh-CN"/>
              </w:rPr>
              <w:t>。</w:t>
            </w:r>
          </w:p>
          <w:p w14:paraId="537645E4">
            <w:pPr>
              <w:spacing w:line="460" w:lineRule="exact"/>
              <w:ind w:right="420" w:rightChars="200"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）供应商应将相关证件的变更、延期等材料一并提供，供应商应对资料的真实性、合规性负责。</w:t>
            </w:r>
          </w:p>
          <w:p w14:paraId="7B642BC5">
            <w:pPr>
              <w:spacing w:line="460" w:lineRule="exact"/>
              <w:ind w:right="420" w:rightChars="200" w:firstLine="482" w:firstLineChars="200"/>
              <w:rPr>
                <w:rFonts w:ascii="宋体"/>
                <w:sz w:val="24"/>
                <w:szCs w:val="24"/>
                <w:lang w:val="zh-CN"/>
              </w:rPr>
            </w:pPr>
            <w:r>
              <w:rPr>
                <w:rFonts w:hint="eastAsia"/>
                <w:b/>
                <w:sz w:val="24"/>
              </w:rPr>
              <w:t>（3）参与本项目的各响应单位，请及时更新完善新郑市公共资源交易中心响应单位系统相关证件报告等企业基本信息再制作响应文件，评标过程中因系统获取响应单位相关信息不存在或获取的信息已失效而影响响应单位正常投标的，响应单位自行承担后果。</w:t>
            </w:r>
          </w:p>
          <w:p w14:paraId="4CF00CA4">
            <w:pPr>
              <w:spacing w:line="380" w:lineRule="exact"/>
              <w:jc w:val="center"/>
              <w:rPr>
                <w:rFonts w:hint="eastAsia" w:ascii="宋体" w:hAnsi="宋体" w:cs="宋体"/>
                <w:kern w:val="0"/>
                <w:sz w:val="24"/>
                <w:szCs w:val="24"/>
              </w:rPr>
            </w:pPr>
          </w:p>
        </w:tc>
      </w:tr>
    </w:tbl>
    <w:p w14:paraId="1CF38BA1">
      <w:pPr>
        <w:pStyle w:val="3"/>
        <w:spacing w:line="400" w:lineRule="exact"/>
        <w:jc w:val="both"/>
        <w:rPr>
          <w:rFonts w:hint="eastAsia" w:ascii="宋体" w:hAnsi="宋体" w:eastAsia="宋体" w:cs="宋体"/>
          <w:sz w:val="24"/>
          <w:szCs w:val="24"/>
        </w:rPr>
      </w:pPr>
      <w:bookmarkStart w:id="335" w:name="_Toc10820_WPSOffice_Level2"/>
      <w:r>
        <w:rPr>
          <w:rFonts w:hint="eastAsia" w:ascii="宋体" w:hAnsi="宋体" w:eastAsia="宋体" w:cs="宋体"/>
          <w:sz w:val="24"/>
          <w:szCs w:val="24"/>
        </w:rPr>
        <w:br w:type="page"/>
      </w:r>
      <w:bookmarkStart w:id="336" w:name="_Toc152656722"/>
      <w:r>
        <w:rPr>
          <w:rFonts w:hint="eastAsia" w:ascii="宋体" w:hAnsi="宋体" w:eastAsia="宋体" w:cs="宋体"/>
          <w:sz w:val="24"/>
          <w:szCs w:val="24"/>
        </w:rPr>
        <w:t>二、符合性评审</w:t>
      </w:r>
      <w:bookmarkEnd w:id="335"/>
      <w:bookmarkEnd w:id="336"/>
    </w:p>
    <w:p w14:paraId="4640640C">
      <w:pPr>
        <w:pStyle w:val="14"/>
        <w:spacing w:line="460" w:lineRule="exact"/>
        <w:ind w:firstLine="480" w:firstLineChars="200"/>
        <w:rPr>
          <w:rFonts w:hint="eastAsia" w:hAnsi="宋体"/>
          <w:sz w:val="24"/>
          <w:szCs w:val="24"/>
          <w:lang w:val="zh-CN"/>
        </w:rPr>
      </w:pPr>
      <w:r>
        <w:rPr>
          <w:rFonts w:hint="eastAsia" w:hAnsi="宋体"/>
          <w:sz w:val="24"/>
          <w:szCs w:val="24"/>
          <w:lang w:val="zh-CN"/>
        </w:rPr>
        <w:t>（</w:t>
      </w:r>
      <w:r>
        <w:rPr>
          <w:rFonts w:hint="eastAsia" w:hAnsi="宋体"/>
          <w:sz w:val="24"/>
          <w:szCs w:val="24"/>
        </w:rPr>
        <w:t>1</w:t>
      </w:r>
      <w:r>
        <w:rPr>
          <w:rFonts w:hint="eastAsia" w:hAnsi="宋体"/>
          <w:sz w:val="24"/>
          <w:szCs w:val="24"/>
          <w:lang w:val="zh-CN"/>
        </w:rPr>
        <w:t>）磋商小组依据有关法律法规和</w:t>
      </w:r>
      <w:r>
        <w:rPr>
          <w:rFonts w:hint="eastAsia" w:hAnsi="宋体" w:cs="宋体"/>
          <w:kern w:val="2"/>
          <w:sz w:val="24"/>
          <w:szCs w:val="24"/>
        </w:rPr>
        <w:t>竞争性磋商文件</w:t>
      </w:r>
      <w:r>
        <w:rPr>
          <w:rFonts w:hint="eastAsia" w:hAnsi="宋体"/>
          <w:sz w:val="24"/>
          <w:szCs w:val="24"/>
          <w:lang w:val="zh-CN"/>
        </w:rPr>
        <w:t>的规定，对通过资格审查的供应商的响应文件进行符合性审查，以确定其是否满足</w:t>
      </w:r>
      <w:r>
        <w:rPr>
          <w:rFonts w:hint="eastAsia" w:hAnsi="宋体" w:cs="宋体"/>
          <w:kern w:val="2"/>
          <w:sz w:val="24"/>
          <w:szCs w:val="24"/>
        </w:rPr>
        <w:t>竞争性磋商文件</w:t>
      </w:r>
      <w:r>
        <w:rPr>
          <w:rFonts w:hint="eastAsia" w:hAnsi="宋体"/>
          <w:sz w:val="24"/>
          <w:szCs w:val="24"/>
          <w:lang w:val="zh-CN"/>
        </w:rPr>
        <w:t>的实质性要求。</w:t>
      </w:r>
    </w:p>
    <w:p w14:paraId="2F4B01EB">
      <w:pPr>
        <w:pStyle w:val="14"/>
        <w:spacing w:line="460" w:lineRule="exact"/>
        <w:ind w:firstLine="480" w:firstLineChars="200"/>
        <w:rPr>
          <w:rFonts w:hint="eastAsia" w:hAnsi="宋体"/>
          <w:sz w:val="24"/>
          <w:szCs w:val="24"/>
          <w:lang w:val="zh-CN"/>
        </w:rPr>
      </w:pPr>
      <w:r>
        <w:rPr>
          <w:rFonts w:hint="eastAsia" w:hAnsi="宋体"/>
          <w:sz w:val="24"/>
          <w:szCs w:val="24"/>
          <w:lang w:val="zh-CN"/>
        </w:rPr>
        <w:t>（</w:t>
      </w:r>
      <w:r>
        <w:rPr>
          <w:rFonts w:hint="eastAsia" w:hAnsi="宋体"/>
          <w:sz w:val="24"/>
          <w:szCs w:val="24"/>
        </w:rPr>
        <w:t>2</w:t>
      </w:r>
      <w:r>
        <w:rPr>
          <w:rFonts w:hint="eastAsia" w:hAnsi="宋体"/>
          <w:sz w:val="24"/>
          <w:szCs w:val="24"/>
          <w:lang w:val="zh-CN"/>
        </w:rPr>
        <w:t xml:space="preserve">）供应商对符合性审查结果是否签字确认，不影响磋商小组做出无效投标的裁定。 </w:t>
      </w:r>
    </w:p>
    <w:tbl>
      <w:tblPr>
        <w:tblStyle w:val="28"/>
        <w:tblW w:w="9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2694"/>
        <w:gridCol w:w="6206"/>
      </w:tblGrid>
      <w:tr w14:paraId="39CB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959" w:type="dxa"/>
            <w:noWrap/>
            <w:vAlign w:val="center"/>
          </w:tcPr>
          <w:p w14:paraId="6B955AE0">
            <w:pPr>
              <w:spacing w:line="440" w:lineRule="exact"/>
              <w:jc w:val="center"/>
              <w:rPr>
                <w:rFonts w:ascii="宋体"/>
                <w:kern w:val="0"/>
                <w:sz w:val="24"/>
                <w:szCs w:val="24"/>
              </w:rPr>
            </w:pPr>
            <w:r>
              <w:rPr>
                <w:rFonts w:hint="eastAsia" w:ascii="宋体" w:hAnsi="宋体" w:cs="宋体"/>
                <w:kern w:val="0"/>
                <w:sz w:val="24"/>
                <w:szCs w:val="24"/>
              </w:rPr>
              <w:t>条款号</w:t>
            </w:r>
          </w:p>
        </w:tc>
        <w:tc>
          <w:tcPr>
            <w:tcW w:w="2694" w:type="dxa"/>
            <w:noWrap/>
            <w:vAlign w:val="center"/>
          </w:tcPr>
          <w:p w14:paraId="5BCC40A7">
            <w:pPr>
              <w:spacing w:line="440" w:lineRule="exact"/>
              <w:jc w:val="center"/>
              <w:rPr>
                <w:rFonts w:ascii="宋体"/>
                <w:kern w:val="0"/>
                <w:sz w:val="24"/>
                <w:szCs w:val="24"/>
              </w:rPr>
            </w:pPr>
            <w:r>
              <w:rPr>
                <w:rFonts w:hint="eastAsia" w:ascii="宋体" w:hAnsi="宋体" w:cs="宋体"/>
                <w:kern w:val="0"/>
                <w:sz w:val="24"/>
                <w:szCs w:val="24"/>
              </w:rPr>
              <w:t>评审因素</w:t>
            </w:r>
          </w:p>
        </w:tc>
        <w:tc>
          <w:tcPr>
            <w:tcW w:w="6206" w:type="dxa"/>
            <w:noWrap/>
            <w:vAlign w:val="center"/>
          </w:tcPr>
          <w:p w14:paraId="45D93B7B">
            <w:pPr>
              <w:spacing w:line="440" w:lineRule="exact"/>
              <w:jc w:val="center"/>
              <w:rPr>
                <w:rFonts w:ascii="宋体"/>
                <w:kern w:val="0"/>
                <w:sz w:val="24"/>
                <w:szCs w:val="24"/>
              </w:rPr>
            </w:pPr>
            <w:r>
              <w:rPr>
                <w:rFonts w:hint="eastAsia" w:ascii="宋体" w:hAnsi="宋体" w:cs="宋体"/>
                <w:kern w:val="0"/>
                <w:sz w:val="24"/>
                <w:szCs w:val="24"/>
              </w:rPr>
              <w:t>评审标准</w:t>
            </w:r>
          </w:p>
        </w:tc>
      </w:tr>
      <w:tr w14:paraId="77F2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restart"/>
            <w:noWrap/>
            <w:vAlign w:val="center"/>
          </w:tcPr>
          <w:p w14:paraId="5851F595">
            <w:pPr>
              <w:spacing w:line="360" w:lineRule="exact"/>
              <w:jc w:val="center"/>
              <w:rPr>
                <w:rFonts w:hint="eastAsia" w:ascii="宋体" w:hAnsi="宋体" w:cs="宋体"/>
                <w:kern w:val="0"/>
                <w:sz w:val="24"/>
                <w:szCs w:val="24"/>
              </w:rPr>
            </w:pPr>
            <w:r>
              <w:rPr>
                <w:rFonts w:hint="eastAsia" w:ascii="宋体" w:hAnsi="宋体" w:cs="宋体"/>
                <w:kern w:val="0"/>
                <w:sz w:val="24"/>
                <w:szCs w:val="24"/>
              </w:rPr>
              <w:t>形</w:t>
            </w:r>
          </w:p>
          <w:p w14:paraId="5B473722">
            <w:pPr>
              <w:spacing w:line="360" w:lineRule="exact"/>
              <w:jc w:val="center"/>
              <w:rPr>
                <w:rFonts w:hint="eastAsia" w:ascii="宋体" w:hAnsi="宋体" w:cs="宋体"/>
                <w:kern w:val="0"/>
                <w:sz w:val="24"/>
                <w:szCs w:val="24"/>
              </w:rPr>
            </w:pPr>
            <w:r>
              <w:rPr>
                <w:rFonts w:hint="eastAsia" w:ascii="宋体" w:hAnsi="宋体" w:cs="宋体"/>
                <w:kern w:val="0"/>
                <w:sz w:val="24"/>
                <w:szCs w:val="24"/>
              </w:rPr>
              <w:t>式</w:t>
            </w:r>
          </w:p>
          <w:p w14:paraId="561B03AB">
            <w:pPr>
              <w:spacing w:line="360" w:lineRule="exact"/>
              <w:jc w:val="center"/>
              <w:rPr>
                <w:rFonts w:hint="eastAsia" w:ascii="宋体" w:hAnsi="宋体" w:cs="宋体"/>
                <w:kern w:val="0"/>
                <w:sz w:val="24"/>
                <w:szCs w:val="24"/>
              </w:rPr>
            </w:pPr>
            <w:r>
              <w:rPr>
                <w:rFonts w:hint="eastAsia" w:ascii="宋体" w:hAnsi="宋体" w:cs="宋体"/>
                <w:kern w:val="0"/>
                <w:sz w:val="24"/>
                <w:szCs w:val="24"/>
              </w:rPr>
              <w:t>评</w:t>
            </w:r>
          </w:p>
          <w:p w14:paraId="65689BAC">
            <w:pPr>
              <w:spacing w:line="360" w:lineRule="exact"/>
              <w:jc w:val="center"/>
              <w:rPr>
                <w:rFonts w:hint="eastAsia" w:ascii="宋体" w:hAnsi="宋体" w:cs="宋体"/>
                <w:kern w:val="0"/>
                <w:sz w:val="24"/>
                <w:szCs w:val="24"/>
              </w:rPr>
            </w:pPr>
            <w:r>
              <w:rPr>
                <w:rFonts w:hint="eastAsia" w:ascii="宋体" w:hAnsi="宋体" w:cs="宋体"/>
                <w:kern w:val="0"/>
                <w:sz w:val="24"/>
                <w:szCs w:val="24"/>
              </w:rPr>
              <w:t>审</w:t>
            </w:r>
          </w:p>
          <w:p w14:paraId="79290C8B">
            <w:pPr>
              <w:spacing w:line="360" w:lineRule="exact"/>
              <w:jc w:val="center"/>
              <w:rPr>
                <w:rFonts w:hint="eastAsia" w:ascii="宋体" w:hAnsi="宋体" w:cs="宋体"/>
                <w:kern w:val="0"/>
                <w:sz w:val="24"/>
                <w:szCs w:val="24"/>
              </w:rPr>
            </w:pPr>
            <w:r>
              <w:rPr>
                <w:rFonts w:hint="eastAsia" w:ascii="宋体" w:hAnsi="宋体" w:cs="宋体"/>
                <w:kern w:val="0"/>
                <w:sz w:val="24"/>
                <w:szCs w:val="24"/>
              </w:rPr>
              <w:t>标</w:t>
            </w:r>
          </w:p>
          <w:p w14:paraId="36D32263">
            <w:pPr>
              <w:spacing w:line="360" w:lineRule="exact"/>
              <w:jc w:val="center"/>
              <w:rPr>
                <w:rFonts w:ascii="宋体"/>
                <w:kern w:val="0"/>
                <w:sz w:val="24"/>
                <w:szCs w:val="24"/>
              </w:rPr>
            </w:pPr>
            <w:r>
              <w:rPr>
                <w:rFonts w:hint="eastAsia" w:ascii="宋体" w:hAnsi="宋体" w:cs="宋体"/>
                <w:kern w:val="0"/>
                <w:sz w:val="24"/>
                <w:szCs w:val="24"/>
              </w:rPr>
              <w:t>准</w:t>
            </w:r>
          </w:p>
        </w:tc>
        <w:tc>
          <w:tcPr>
            <w:tcW w:w="2694" w:type="dxa"/>
            <w:noWrap/>
            <w:vAlign w:val="center"/>
          </w:tcPr>
          <w:p w14:paraId="5CDB0D66">
            <w:pPr>
              <w:spacing w:line="440" w:lineRule="exact"/>
              <w:jc w:val="center"/>
              <w:rPr>
                <w:rFonts w:ascii="宋体"/>
                <w:kern w:val="0"/>
                <w:sz w:val="24"/>
                <w:szCs w:val="24"/>
              </w:rPr>
            </w:pPr>
            <w:r>
              <w:rPr>
                <w:rFonts w:hint="eastAsia" w:ascii="宋体" w:hAnsi="宋体" w:cs="宋体"/>
                <w:kern w:val="0"/>
                <w:sz w:val="24"/>
                <w:szCs w:val="24"/>
              </w:rPr>
              <w:t>投标单位名称</w:t>
            </w:r>
          </w:p>
        </w:tc>
        <w:tc>
          <w:tcPr>
            <w:tcW w:w="6206" w:type="dxa"/>
            <w:noWrap/>
            <w:vAlign w:val="center"/>
          </w:tcPr>
          <w:p w14:paraId="5A9DEF4D">
            <w:pPr>
              <w:spacing w:line="440" w:lineRule="exact"/>
              <w:jc w:val="center"/>
              <w:rPr>
                <w:rFonts w:ascii="宋体"/>
                <w:kern w:val="0"/>
                <w:sz w:val="24"/>
                <w:szCs w:val="24"/>
              </w:rPr>
            </w:pPr>
            <w:r>
              <w:rPr>
                <w:rFonts w:hint="eastAsia" w:ascii="宋体" w:hAnsi="宋体" w:cs="宋体"/>
                <w:kern w:val="0"/>
                <w:sz w:val="24"/>
                <w:szCs w:val="24"/>
              </w:rPr>
              <w:t>与营业执照一致</w:t>
            </w:r>
          </w:p>
        </w:tc>
      </w:tr>
      <w:tr w14:paraId="0918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2136665C">
            <w:pPr>
              <w:spacing w:line="440" w:lineRule="exact"/>
              <w:jc w:val="left"/>
              <w:rPr>
                <w:rFonts w:ascii="宋体"/>
                <w:kern w:val="0"/>
                <w:sz w:val="24"/>
                <w:szCs w:val="24"/>
              </w:rPr>
            </w:pPr>
          </w:p>
        </w:tc>
        <w:tc>
          <w:tcPr>
            <w:tcW w:w="2694" w:type="dxa"/>
            <w:noWrap/>
            <w:vAlign w:val="center"/>
          </w:tcPr>
          <w:p w14:paraId="3F019397">
            <w:pPr>
              <w:spacing w:line="440" w:lineRule="exact"/>
              <w:jc w:val="center"/>
              <w:rPr>
                <w:rFonts w:ascii="宋体"/>
                <w:kern w:val="0"/>
                <w:sz w:val="24"/>
                <w:szCs w:val="24"/>
              </w:rPr>
            </w:pPr>
            <w:r>
              <w:rPr>
                <w:rFonts w:hint="eastAsia" w:ascii="宋体" w:hAnsi="宋体" w:cs="宋体"/>
                <w:kern w:val="0"/>
                <w:sz w:val="24"/>
                <w:szCs w:val="24"/>
              </w:rPr>
              <w:t>响应文件的签字盖章</w:t>
            </w:r>
          </w:p>
        </w:tc>
        <w:tc>
          <w:tcPr>
            <w:tcW w:w="6206" w:type="dxa"/>
            <w:noWrap/>
            <w:vAlign w:val="center"/>
          </w:tcPr>
          <w:p w14:paraId="3A87DC3A">
            <w:pPr>
              <w:spacing w:line="440" w:lineRule="exact"/>
              <w:jc w:val="center"/>
              <w:rPr>
                <w:rFonts w:ascii="宋体"/>
                <w:kern w:val="0"/>
                <w:sz w:val="24"/>
                <w:szCs w:val="24"/>
              </w:rPr>
            </w:pPr>
            <w:r>
              <w:rPr>
                <w:rFonts w:hint="eastAsia" w:ascii="宋体" w:hAnsi="宋体" w:cs="宋体"/>
                <w:kern w:val="0"/>
                <w:sz w:val="24"/>
                <w:szCs w:val="24"/>
              </w:rPr>
              <w:t>符合</w:t>
            </w:r>
            <w:r>
              <w:rPr>
                <w:rFonts w:hint="eastAsia" w:hAnsi="宋体" w:cs="宋体"/>
                <w:sz w:val="24"/>
                <w:szCs w:val="24"/>
              </w:rPr>
              <w:t>竞争性磋商文件</w:t>
            </w:r>
            <w:r>
              <w:rPr>
                <w:rFonts w:hint="eastAsia" w:ascii="宋体" w:hAnsi="宋体" w:cs="宋体"/>
                <w:kern w:val="0"/>
                <w:sz w:val="24"/>
                <w:szCs w:val="24"/>
              </w:rPr>
              <w:t>要求</w:t>
            </w:r>
          </w:p>
        </w:tc>
      </w:tr>
      <w:tr w14:paraId="4AB9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07DEF99E">
            <w:pPr>
              <w:spacing w:line="440" w:lineRule="exact"/>
              <w:jc w:val="left"/>
              <w:rPr>
                <w:rFonts w:ascii="宋体"/>
                <w:kern w:val="0"/>
                <w:sz w:val="24"/>
                <w:szCs w:val="24"/>
              </w:rPr>
            </w:pPr>
          </w:p>
        </w:tc>
        <w:tc>
          <w:tcPr>
            <w:tcW w:w="2694" w:type="dxa"/>
            <w:noWrap/>
            <w:vAlign w:val="center"/>
          </w:tcPr>
          <w:p w14:paraId="101AD547">
            <w:pPr>
              <w:spacing w:line="440" w:lineRule="exact"/>
              <w:jc w:val="center"/>
              <w:rPr>
                <w:rFonts w:ascii="宋体"/>
                <w:kern w:val="0"/>
                <w:sz w:val="24"/>
                <w:szCs w:val="24"/>
              </w:rPr>
            </w:pPr>
            <w:r>
              <w:rPr>
                <w:rFonts w:hint="eastAsia" w:ascii="宋体" w:hAnsi="宋体" w:cs="宋体"/>
                <w:kern w:val="0"/>
                <w:sz w:val="24"/>
                <w:szCs w:val="24"/>
              </w:rPr>
              <w:t>响应文件格式</w:t>
            </w:r>
          </w:p>
        </w:tc>
        <w:tc>
          <w:tcPr>
            <w:tcW w:w="6206" w:type="dxa"/>
            <w:noWrap/>
            <w:vAlign w:val="center"/>
          </w:tcPr>
          <w:p w14:paraId="7074C514">
            <w:pPr>
              <w:spacing w:line="440" w:lineRule="exact"/>
              <w:jc w:val="center"/>
              <w:rPr>
                <w:rFonts w:ascii="宋体"/>
                <w:kern w:val="0"/>
                <w:sz w:val="24"/>
                <w:szCs w:val="24"/>
              </w:rPr>
            </w:pPr>
            <w:r>
              <w:rPr>
                <w:rFonts w:hint="eastAsia" w:ascii="宋体" w:hAnsi="宋体" w:cs="宋体"/>
                <w:kern w:val="0"/>
                <w:sz w:val="24"/>
                <w:szCs w:val="24"/>
              </w:rPr>
              <w:t>符合响应文件格式的要求</w:t>
            </w:r>
          </w:p>
        </w:tc>
      </w:tr>
      <w:tr w14:paraId="543E3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4B07E76D">
            <w:pPr>
              <w:spacing w:line="440" w:lineRule="exact"/>
              <w:jc w:val="left"/>
              <w:rPr>
                <w:rFonts w:ascii="宋体"/>
                <w:kern w:val="0"/>
                <w:sz w:val="24"/>
                <w:szCs w:val="24"/>
              </w:rPr>
            </w:pPr>
          </w:p>
        </w:tc>
        <w:tc>
          <w:tcPr>
            <w:tcW w:w="2694" w:type="dxa"/>
            <w:noWrap/>
            <w:vAlign w:val="center"/>
          </w:tcPr>
          <w:p w14:paraId="09462F7F">
            <w:pPr>
              <w:spacing w:line="440" w:lineRule="exact"/>
              <w:jc w:val="center"/>
              <w:rPr>
                <w:rFonts w:ascii="宋体"/>
                <w:kern w:val="0"/>
                <w:sz w:val="24"/>
                <w:szCs w:val="24"/>
              </w:rPr>
            </w:pPr>
            <w:r>
              <w:rPr>
                <w:rFonts w:hint="eastAsia" w:ascii="宋体" w:hAnsi="宋体" w:cs="宋体"/>
                <w:kern w:val="0"/>
                <w:sz w:val="24"/>
                <w:szCs w:val="24"/>
              </w:rPr>
              <w:t>报价唯一</w:t>
            </w:r>
          </w:p>
        </w:tc>
        <w:tc>
          <w:tcPr>
            <w:tcW w:w="6206" w:type="dxa"/>
            <w:noWrap/>
            <w:vAlign w:val="center"/>
          </w:tcPr>
          <w:p w14:paraId="6498C804">
            <w:pPr>
              <w:spacing w:line="440" w:lineRule="exact"/>
              <w:jc w:val="center"/>
              <w:rPr>
                <w:rFonts w:ascii="宋体"/>
                <w:kern w:val="0"/>
                <w:sz w:val="24"/>
                <w:szCs w:val="24"/>
              </w:rPr>
            </w:pPr>
            <w:r>
              <w:rPr>
                <w:rFonts w:hint="eastAsia" w:ascii="宋体" w:hAnsi="宋体" w:cs="宋体"/>
                <w:kern w:val="0"/>
                <w:sz w:val="24"/>
                <w:szCs w:val="24"/>
              </w:rPr>
              <w:t>只能有一个有效报价，投标报价高于招标控制价的按废标处理</w:t>
            </w:r>
          </w:p>
        </w:tc>
      </w:tr>
      <w:tr w14:paraId="1EFC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restart"/>
            <w:noWrap/>
            <w:vAlign w:val="center"/>
          </w:tcPr>
          <w:p w14:paraId="724748C3">
            <w:pPr>
              <w:spacing w:line="360" w:lineRule="exact"/>
              <w:jc w:val="center"/>
              <w:rPr>
                <w:rFonts w:hint="eastAsia" w:ascii="宋体" w:hAnsi="宋体" w:cs="宋体"/>
                <w:kern w:val="0"/>
                <w:sz w:val="24"/>
                <w:szCs w:val="24"/>
              </w:rPr>
            </w:pPr>
            <w:r>
              <w:rPr>
                <w:rFonts w:hint="eastAsia" w:ascii="宋体" w:hAnsi="宋体" w:cs="宋体"/>
                <w:kern w:val="0"/>
                <w:sz w:val="24"/>
                <w:szCs w:val="24"/>
              </w:rPr>
              <w:t>响</w:t>
            </w:r>
          </w:p>
          <w:p w14:paraId="33BF5AD3">
            <w:pPr>
              <w:spacing w:line="360" w:lineRule="exact"/>
              <w:jc w:val="center"/>
              <w:rPr>
                <w:rFonts w:hint="eastAsia" w:ascii="宋体" w:hAnsi="宋体" w:cs="宋体"/>
                <w:kern w:val="0"/>
                <w:sz w:val="24"/>
                <w:szCs w:val="24"/>
              </w:rPr>
            </w:pPr>
            <w:r>
              <w:rPr>
                <w:rFonts w:hint="eastAsia" w:ascii="宋体" w:hAnsi="宋体" w:cs="宋体"/>
                <w:kern w:val="0"/>
                <w:sz w:val="24"/>
                <w:szCs w:val="24"/>
              </w:rPr>
              <w:t>应</w:t>
            </w:r>
          </w:p>
          <w:p w14:paraId="4F0C1F67">
            <w:pPr>
              <w:spacing w:line="360" w:lineRule="exact"/>
              <w:jc w:val="center"/>
              <w:rPr>
                <w:rFonts w:hint="eastAsia" w:ascii="宋体" w:hAnsi="宋体" w:cs="宋体"/>
                <w:kern w:val="0"/>
                <w:sz w:val="24"/>
                <w:szCs w:val="24"/>
              </w:rPr>
            </w:pPr>
            <w:r>
              <w:rPr>
                <w:rFonts w:hint="eastAsia" w:ascii="宋体" w:hAnsi="宋体" w:cs="宋体"/>
                <w:kern w:val="0"/>
                <w:sz w:val="24"/>
                <w:szCs w:val="24"/>
              </w:rPr>
              <w:t>性</w:t>
            </w:r>
          </w:p>
          <w:p w14:paraId="1F1D8896">
            <w:pPr>
              <w:spacing w:line="360" w:lineRule="exact"/>
              <w:jc w:val="center"/>
              <w:rPr>
                <w:rFonts w:hint="eastAsia" w:ascii="宋体" w:hAnsi="宋体" w:cs="宋体"/>
                <w:kern w:val="0"/>
                <w:sz w:val="24"/>
                <w:szCs w:val="24"/>
              </w:rPr>
            </w:pPr>
            <w:r>
              <w:rPr>
                <w:rFonts w:hint="eastAsia" w:ascii="宋体" w:hAnsi="宋体" w:cs="宋体"/>
                <w:kern w:val="0"/>
                <w:sz w:val="24"/>
                <w:szCs w:val="24"/>
              </w:rPr>
              <w:t>评</w:t>
            </w:r>
          </w:p>
          <w:p w14:paraId="4B0DB7FC">
            <w:pPr>
              <w:spacing w:line="360" w:lineRule="exact"/>
              <w:jc w:val="center"/>
              <w:rPr>
                <w:rFonts w:hint="eastAsia" w:ascii="宋体" w:hAnsi="宋体" w:cs="宋体"/>
                <w:kern w:val="0"/>
                <w:sz w:val="24"/>
                <w:szCs w:val="24"/>
              </w:rPr>
            </w:pPr>
            <w:r>
              <w:rPr>
                <w:rFonts w:hint="eastAsia" w:ascii="宋体" w:hAnsi="宋体" w:cs="宋体"/>
                <w:kern w:val="0"/>
                <w:sz w:val="24"/>
                <w:szCs w:val="24"/>
              </w:rPr>
              <w:t>审</w:t>
            </w:r>
          </w:p>
          <w:p w14:paraId="6858220D">
            <w:pPr>
              <w:spacing w:line="360" w:lineRule="exact"/>
              <w:jc w:val="center"/>
              <w:rPr>
                <w:rFonts w:hint="eastAsia" w:ascii="宋体" w:hAnsi="宋体" w:cs="宋体"/>
                <w:kern w:val="0"/>
                <w:sz w:val="24"/>
                <w:szCs w:val="24"/>
              </w:rPr>
            </w:pPr>
            <w:r>
              <w:rPr>
                <w:rFonts w:hint="eastAsia" w:ascii="宋体" w:hAnsi="宋体" w:cs="宋体"/>
                <w:kern w:val="0"/>
                <w:sz w:val="24"/>
                <w:szCs w:val="24"/>
              </w:rPr>
              <w:t>标</w:t>
            </w:r>
          </w:p>
          <w:p w14:paraId="181F2EF5">
            <w:pPr>
              <w:spacing w:line="360" w:lineRule="exact"/>
              <w:jc w:val="center"/>
              <w:rPr>
                <w:rFonts w:ascii="宋体"/>
                <w:kern w:val="0"/>
                <w:sz w:val="24"/>
                <w:szCs w:val="24"/>
              </w:rPr>
            </w:pPr>
            <w:r>
              <w:rPr>
                <w:rFonts w:hint="eastAsia" w:ascii="宋体" w:hAnsi="宋体" w:cs="宋体"/>
                <w:kern w:val="0"/>
                <w:sz w:val="24"/>
                <w:szCs w:val="24"/>
              </w:rPr>
              <w:t>准</w:t>
            </w:r>
          </w:p>
        </w:tc>
        <w:tc>
          <w:tcPr>
            <w:tcW w:w="2694" w:type="dxa"/>
            <w:noWrap/>
            <w:vAlign w:val="center"/>
          </w:tcPr>
          <w:p w14:paraId="7F59257F">
            <w:pPr>
              <w:spacing w:line="440" w:lineRule="exact"/>
              <w:jc w:val="center"/>
              <w:rPr>
                <w:rFonts w:ascii="宋体"/>
                <w:kern w:val="0"/>
                <w:sz w:val="24"/>
                <w:szCs w:val="24"/>
              </w:rPr>
            </w:pPr>
            <w:r>
              <w:rPr>
                <w:rFonts w:hint="eastAsia" w:ascii="宋体" w:hAnsi="宋体" w:cs="宋体"/>
                <w:kern w:val="0"/>
                <w:sz w:val="24"/>
                <w:szCs w:val="24"/>
              </w:rPr>
              <w:t>投标范围</w:t>
            </w:r>
          </w:p>
        </w:tc>
        <w:tc>
          <w:tcPr>
            <w:tcW w:w="6206" w:type="dxa"/>
            <w:noWrap/>
            <w:vAlign w:val="center"/>
          </w:tcPr>
          <w:p w14:paraId="1A0077B1">
            <w:pPr>
              <w:spacing w:line="440" w:lineRule="exact"/>
              <w:jc w:val="center"/>
              <w:rPr>
                <w:rFonts w:ascii="宋体"/>
                <w:kern w:val="0"/>
                <w:sz w:val="24"/>
                <w:szCs w:val="24"/>
              </w:rPr>
            </w:pPr>
            <w:r>
              <w:rPr>
                <w:rFonts w:hint="eastAsia" w:hAnsi="宋体" w:cs="宋体"/>
                <w:sz w:val="24"/>
                <w:szCs w:val="24"/>
              </w:rPr>
              <w:t>竞争性磋商文件</w:t>
            </w:r>
            <w:r>
              <w:rPr>
                <w:rFonts w:hint="eastAsia" w:ascii="宋体" w:hAnsi="宋体" w:cs="宋体"/>
                <w:sz w:val="24"/>
                <w:szCs w:val="24"/>
              </w:rPr>
              <w:t>所含全部内容</w:t>
            </w:r>
          </w:p>
        </w:tc>
      </w:tr>
      <w:tr w14:paraId="26E14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5AA7D375">
            <w:pPr>
              <w:spacing w:line="440" w:lineRule="exact"/>
              <w:jc w:val="center"/>
              <w:rPr>
                <w:rFonts w:ascii="宋体"/>
                <w:kern w:val="0"/>
                <w:sz w:val="24"/>
                <w:szCs w:val="24"/>
              </w:rPr>
            </w:pPr>
          </w:p>
        </w:tc>
        <w:tc>
          <w:tcPr>
            <w:tcW w:w="2694" w:type="dxa"/>
            <w:noWrap/>
            <w:vAlign w:val="center"/>
          </w:tcPr>
          <w:p w14:paraId="736817BA">
            <w:pPr>
              <w:spacing w:line="360" w:lineRule="auto"/>
              <w:jc w:val="center"/>
              <w:rPr>
                <w:rFonts w:ascii="宋体"/>
                <w:sz w:val="24"/>
                <w:szCs w:val="24"/>
              </w:rPr>
            </w:pPr>
            <w:r>
              <w:rPr>
                <w:rFonts w:hint="eastAsia" w:ascii="宋体" w:hAnsi="宋体" w:cs="宋体"/>
                <w:sz w:val="24"/>
                <w:szCs w:val="24"/>
              </w:rPr>
              <w:t>质量要求</w:t>
            </w:r>
          </w:p>
        </w:tc>
        <w:tc>
          <w:tcPr>
            <w:tcW w:w="6206" w:type="dxa"/>
            <w:noWrap/>
            <w:vAlign w:val="center"/>
          </w:tcPr>
          <w:p w14:paraId="7B632DCF">
            <w:pPr>
              <w:spacing w:line="360" w:lineRule="auto"/>
              <w:jc w:val="center"/>
              <w:rPr>
                <w:rFonts w:ascii="宋体"/>
                <w:sz w:val="24"/>
                <w:szCs w:val="24"/>
              </w:rPr>
            </w:pPr>
            <w:r>
              <w:rPr>
                <w:rFonts w:hint="eastAsia" w:cs="宋体" w:asciiTheme="minorEastAsia" w:hAnsiTheme="minorEastAsia" w:eastAsiaTheme="minorEastAsia"/>
                <w:sz w:val="24"/>
                <w:szCs w:val="24"/>
              </w:rPr>
              <w:t>合格，满足采购人要求</w:t>
            </w:r>
          </w:p>
        </w:tc>
      </w:tr>
      <w:tr w14:paraId="53698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2B4C1111">
            <w:pPr>
              <w:spacing w:line="440" w:lineRule="exact"/>
              <w:jc w:val="center"/>
              <w:rPr>
                <w:rFonts w:ascii="宋体"/>
                <w:kern w:val="0"/>
                <w:sz w:val="24"/>
                <w:szCs w:val="24"/>
              </w:rPr>
            </w:pPr>
          </w:p>
        </w:tc>
        <w:tc>
          <w:tcPr>
            <w:tcW w:w="2694" w:type="dxa"/>
            <w:noWrap/>
          </w:tcPr>
          <w:p w14:paraId="2037920B">
            <w:pPr>
              <w:pStyle w:val="90"/>
              <w:spacing w:before="282" w:line="219" w:lineRule="auto"/>
              <w:ind w:left="987"/>
              <w:rPr>
                <w:rFonts w:hint="eastAsia"/>
                <w:color w:val="FF0000"/>
              </w:rPr>
            </w:pPr>
            <w:r>
              <w:rPr>
                <w:color w:val="FF0000"/>
                <w:spacing w:val="-4"/>
              </w:rPr>
              <w:t>供货期</w:t>
            </w:r>
          </w:p>
        </w:tc>
        <w:tc>
          <w:tcPr>
            <w:tcW w:w="6206" w:type="dxa"/>
            <w:noWrap/>
          </w:tcPr>
          <w:p w14:paraId="0EEA73CF">
            <w:pPr>
              <w:pStyle w:val="90"/>
              <w:spacing w:before="283" w:line="220" w:lineRule="auto"/>
              <w:ind w:left="2596"/>
              <w:rPr>
                <w:rFonts w:hint="eastAsia"/>
                <w:color w:val="FF0000"/>
              </w:rPr>
            </w:pPr>
            <w:r>
              <w:rPr>
                <w:rFonts w:hint="eastAsia"/>
                <w:color w:val="FF0000"/>
                <w:spacing w:val="-12"/>
                <w:lang w:eastAsia="zh-CN"/>
              </w:rPr>
              <w:t xml:space="preserve"> 60</w:t>
            </w:r>
            <w:r>
              <w:rPr>
                <w:color w:val="FF0000"/>
                <w:spacing w:val="-12"/>
              </w:rPr>
              <w:t>日历天</w:t>
            </w:r>
          </w:p>
        </w:tc>
      </w:tr>
      <w:tr w14:paraId="49B9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138A280C">
            <w:pPr>
              <w:spacing w:line="440" w:lineRule="exact"/>
              <w:jc w:val="center"/>
              <w:rPr>
                <w:rFonts w:ascii="宋体"/>
                <w:kern w:val="0"/>
                <w:sz w:val="24"/>
                <w:szCs w:val="24"/>
              </w:rPr>
            </w:pPr>
          </w:p>
        </w:tc>
        <w:tc>
          <w:tcPr>
            <w:tcW w:w="2694" w:type="dxa"/>
            <w:noWrap/>
          </w:tcPr>
          <w:p w14:paraId="362F012B">
            <w:pPr>
              <w:pStyle w:val="90"/>
              <w:spacing w:before="284" w:line="219" w:lineRule="auto"/>
              <w:ind w:left="988"/>
              <w:rPr>
                <w:rFonts w:hint="eastAsia"/>
              </w:rPr>
            </w:pPr>
            <w:r>
              <w:rPr>
                <w:spacing w:val="-4"/>
              </w:rPr>
              <w:t>保修期</w:t>
            </w:r>
          </w:p>
        </w:tc>
        <w:tc>
          <w:tcPr>
            <w:tcW w:w="6206" w:type="dxa"/>
            <w:noWrap/>
          </w:tcPr>
          <w:p w14:paraId="444C99ED">
            <w:pPr>
              <w:pStyle w:val="90"/>
              <w:spacing w:before="284" w:line="219" w:lineRule="auto"/>
              <w:ind w:left="2914"/>
              <w:rPr>
                <w:rFonts w:hint="eastAsia"/>
                <w:color w:val="FF0000"/>
              </w:rPr>
            </w:pPr>
            <w:r>
              <w:rPr>
                <w:spacing w:val="-14"/>
              </w:rPr>
              <w:t>1</w:t>
            </w:r>
            <w:r>
              <w:rPr>
                <w:spacing w:val="-50"/>
              </w:rPr>
              <w:t xml:space="preserve"> </w:t>
            </w:r>
            <w:r>
              <w:rPr>
                <w:spacing w:val="-14"/>
              </w:rPr>
              <w:t>年</w:t>
            </w:r>
          </w:p>
        </w:tc>
      </w:tr>
      <w:tr w14:paraId="7CC5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vMerge w:val="continue"/>
            <w:noWrap/>
            <w:vAlign w:val="center"/>
          </w:tcPr>
          <w:p w14:paraId="7B11B0BB">
            <w:pPr>
              <w:spacing w:line="440" w:lineRule="exact"/>
              <w:jc w:val="left"/>
              <w:rPr>
                <w:rFonts w:ascii="宋体"/>
                <w:kern w:val="0"/>
                <w:sz w:val="24"/>
                <w:szCs w:val="24"/>
              </w:rPr>
            </w:pPr>
          </w:p>
        </w:tc>
        <w:tc>
          <w:tcPr>
            <w:tcW w:w="2694" w:type="dxa"/>
            <w:noWrap/>
            <w:vAlign w:val="center"/>
          </w:tcPr>
          <w:p w14:paraId="70B5EE91">
            <w:pPr>
              <w:spacing w:line="440" w:lineRule="exact"/>
              <w:jc w:val="center"/>
              <w:rPr>
                <w:rFonts w:ascii="宋体"/>
                <w:kern w:val="0"/>
                <w:sz w:val="24"/>
                <w:szCs w:val="24"/>
              </w:rPr>
            </w:pPr>
            <w:r>
              <w:rPr>
                <w:rFonts w:hint="eastAsia" w:ascii="宋体" w:hAnsi="宋体" w:cs="宋体"/>
                <w:kern w:val="0"/>
                <w:sz w:val="24"/>
                <w:szCs w:val="24"/>
              </w:rPr>
              <w:t>投标有效期</w:t>
            </w:r>
          </w:p>
        </w:tc>
        <w:tc>
          <w:tcPr>
            <w:tcW w:w="6206" w:type="dxa"/>
            <w:noWrap/>
            <w:vAlign w:val="center"/>
          </w:tcPr>
          <w:p w14:paraId="0E8E1B9A">
            <w:pPr>
              <w:spacing w:line="440" w:lineRule="exact"/>
              <w:jc w:val="center"/>
              <w:rPr>
                <w:rFonts w:ascii="宋体"/>
                <w:kern w:val="0"/>
                <w:sz w:val="24"/>
                <w:szCs w:val="24"/>
              </w:rPr>
            </w:pPr>
            <w:r>
              <w:rPr>
                <w:rFonts w:hint="eastAsia" w:ascii="宋体" w:hAnsi="宋体" w:cs="宋体"/>
                <w:sz w:val="24"/>
                <w:szCs w:val="24"/>
                <w:u w:val="single"/>
              </w:rPr>
              <w:t>9</w:t>
            </w:r>
            <w:r>
              <w:rPr>
                <w:rFonts w:ascii="宋体" w:hAnsi="宋体" w:cs="宋体"/>
                <w:sz w:val="24"/>
                <w:szCs w:val="24"/>
                <w:u w:val="single"/>
              </w:rPr>
              <w:t>0</w:t>
            </w:r>
            <w:r>
              <w:rPr>
                <w:rFonts w:hint="eastAsia" w:ascii="宋体" w:hAnsi="宋体" w:cs="宋体"/>
                <w:sz w:val="24"/>
                <w:szCs w:val="24"/>
              </w:rPr>
              <w:t>日历天（自响应文件递交截止时间起）</w:t>
            </w:r>
          </w:p>
        </w:tc>
      </w:tr>
      <w:tr w14:paraId="58AC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959" w:type="dxa"/>
            <w:noWrap/>
            <w:vAlign w:val="center"/>
          </w:tcPr>
          <w:p w14:paraId="44537175">
            <w:pPr>
              <w:spacing w:line="440" w:lineRule="exact"/>
              <w:jc w:val="center"/>
              <w:rPr>
                <w:rFonts w:ascii="宋体"/>
                <w:kern w:val="0"/>
                <w:sz w:val="24"/>
                <w:szCs w:val="24"/>
              </w:rPr>
            </w:pPr>
            <w:r>
              <w:rPr>
                <w:rFonts w:ascii="宋体"/>
                <w:kern w:val="0"/>
                <w:sz w:val="24"/>
                <w:szCs w:val="24"/>
              </w:rPr>
              <w:t>详</w:t>
            </w:r>
          </w:p>
          <w:p w14:paraId="50346873">
            <w:pPr>
              <w:spacing w:line="440" w:lineRule="exact"/>
              <w:jc w:val="center"/>
              <w:rPr>
                <w:rFonts w:ascii="宋体"/>
                <w:kern w:val="0"/>
                <w:sz w:val="24"/>
                <w:szCs w:val="24"/>
              </w:rPr>
            </w:pPr>
            <w:r>
              <w:rPr>
                <w:rFonts w:ascii="宋体"/>
                <w:kern w:val="0"/>
                <w:sz w:val="24"/>
                <w:szCs w:val="24"/>
              </w:rPr>
              <w:t>细</w:t>
            </w:r>
          </w:p>
          <w:p w14:paraId="0597E08B">
            <w:pPr>
              <w:spacing w:line="440" w:lineRule="exact"/>
              <w:jc w:val="center"/>
              <w:rPr>
                <w:rFonts w:ascii="宋体"/>
                <w:kern w:val="0"/>
                <w:sz w:val="24"/>
                <w:szCs w:val="24"/>
              </w:rPr>
            </w:pPr>
            <w:r>
              <w:rPr>
                <w:rFonts w:ascii="宋体"/>
                <w:kern w:val="0"/>
                <w:sz w:val="24"/>
                <w:szCs w:val="24"/>
              </w:rPr>
              <w:t>磋</w:t>
            </w:r>
          </w:p>
          <w:p w14:paraId="2E8DE307">
            <w:pPr>
              <w:spacing w:line="440" w:lineRule="exact"/>
              <w:jc w:val="center"/>
              <w:rPr>
                <w:rFonts w:ascii="宋体"/>
                <w:kern w:val="0"/>
                <w:sz w:val="24"/>
                <w:szCs w:val="24"/>
              </w:rPr>
            </w:pPr>
            <w:r>
              <w:rPr>
                <w:rFonts w:ascii="宋体"/>
                <w:kern w:val="0"/>
                <w:sz w:val="24"/>
                <w:szCs w:val="24"/>
              </w:rPr>
              <w:t>商</w:t>
            </w:r>
          </w:p>
        </w:tc>
        <w:tc>
          <w:tcPr>
            <w:tcW w:w="8900" w:type="dxa"/>
            <w:gridSpan w:val="2"/>
            <w:noWrap/>
            <w:vAlign w:val="center"/>
          </w:tcPr>
          <w:p w14:paraId="144B55AB">
            <w:pPr>
              <w:spacing w:line="440" w:lineRule="exact"/>
              <w:jc w:val="lef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 xml:space="preserve">供应商对所参加磋商项目根据市场行情自主报价，分二次报价，一次报价须按照磋商文件的报价格式填报，第二次报价在磋商中填报（最后报价明显低于成本价的，供应商需做出合理说明，否则将承担不被接受的风险。） </w:t>
            </w:r>
          </w:p>
          <w:p w14:paraId="29223798">
            <w:pPr>
              <w:spacing w:line="440" w:lineRule="exact"/>
              <w:jc w:val="left"/>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经磋商确定最终采购需求和提交最后报价的供应商后，由磋商小组采用综合评分法对提交最后报价的供应商的响应文件和最后报价按照竞争性磋商文件内容进行详细性评审。</w:t>
            </w:r>
          </w:p>
          <w:p w14:paraId="20BB9E15">
            <w:pPr>
              <w:spacing w:line="440" w:lineRule="exact"/>
              <w:jc w:val="left"/>
              <w:rPr>
                <w:rFonts w:hint="eastAsia" w:ascii="宋体" w:hAnsi="宋体" w:cs="宋体"/>
                <w:sz w:val="24"/>
                <w:szCs w:val="24"/>
              </w:rPr>
            </w:pPr>
            <w:r>
              <w:rPr>
                <w:rFonts w:ascii="宋体" w:hAnsi="宋体" w:cs="宋体"/>
                <w:sz w:val="24"/>
                <w:szCs w:val="24"/>
              </w:rPr>
              <w:t>注：本项目二次报价采用线上报价，请各供应商接到二次报价通知后，自备电脑在规定的时间内通过 CA 锁登录系统自行报价。报价时间由专家设定，未在规定时间内报价的视为放弃二次报价机会（线上二次报价操作详见新郑市公共资源交易中心网站 【下载专区】 《竞争性谈判线上报价操作手册》）。</w:t>
            </w:r>
          </w:p>
        </w:tc>
      </w:tr>
    </w:tbl>
    <w:p w14:paraId="66F752B2">
      <w:pPr>
        <w:pStyle w:val="3"/>
        <w:spacing w:line="400" w:lineRule="exact"/>
        <w:jc w:val="both"/>
        <w:rPr>
          <w:rFonts w:hint="eastAsia" w:ascii="宋体" w:hAnsi="宋体" w:eastAsia="宋体"/>
          <w:sz w:val="24"/>
          <w:szCs w:val="24"/>
        </w:rPr>
      </w:pPr>
      <w:bookmarkStart w:id="337" w:name="_Toc152656723"/>
      <w:bookmarkStart w:id="338" w:name="_Toc40251215"/>
      <w:bookmarkStart w:id="339" w:name="_Toc28618"/>
      <w:bookmarkStart w:id="340" w:name="_Toc9071_WPSOffice_Level2"/>
      <w:bookmarkStart w:id="341" w:name="_Toc23950"/>
      <w:r>
        <w:rPr>
          <w:rFonts w:hint="eastAsia" w:ascii="宋体" w:hAnsi="宋体" w:eastAsia="宋体" w:cs="宋体"/>
          <w:sz w:val="24"/>
          <w:szCs w:val="24"/>
        </w:rPr>
        <w:t>三、分值构成（总分</w:t>
      </w:r>
      <w:r>
        <w:rPr>
          <w:rFonts w:ascii="宋体" w:hAnsi="宋体" w:eastAsia="宋体" w:cs="宋体"/>
          <w:sz w:val="24"/>
          <w:szCs w:val="24"/>
        </w:rPr>
        <w:t>100</w:t>
      </w:r>
      <w:r>
        <w:rPr>
          <w:rFonts w:hint="eastAsia" w:ascii="宋体" w:hAnsi="宋体" w:eastAsia="宋体" w:cs="宋体"/>
          <w:sz w:val="24"/>
          <w:szCs w:val="24"/>
        </w:rPr>
        <w:t>分）</w:t>
      </w:r>
      <w:bookmarkEnd w:id="337"/>
      <w:bookmarkEnd w:id="338"/>
    </w:p>
    <w:p w14:paraId="392C755E">
      <w:pPr>
        <w:spacing w:line="480" w:lineRule="auto"/>
        <w:outlineLvl w:val="2"/>
        <w:rPr>
          <w:rFonts w:ascii="宋体"/>
          <w:b/>
          <w:bCs/>
          <w:sz w:val="24"/>
          <w:szCs w:val="24"/>
        </w:rPr>
      </w:pPr>
      <w:r>
        <w:rPr>
          <w:rFonts w:ascii="宋体" w:hAnsi="宋体" w:cs="宋体"/>
          <w:b/>
          <w:bCs/>
          <w:sz w:val="24"/>
          <w:szCs w:val="24"/>
        </w:rPr>
        <w:t xml:space="preserve">A. </w:t>
      </w:r>
      <w:r>
        <w:rPr>
          <w:rFonts w:hint="eastAsia" w:ascii="宋体" w:hAnsi="宋体" w:cs="宋体"/>
          <w:b/>
          <w:bCs/>
          <w:sz w:val="24"/>
          <w:szCs w:val="24"/>
        </w:rPr>
        <w:t>商务标得分35分</w:t>
      </w:r>
    </w:p>
    <w:tbl>
      <w:tblPr>
        <w:tblStyle w:val="28"/>
        <w:tblW w:w="10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1284"/>
        <w:gridCol w:w="992"/>
        <w:gridCol w:w="7226"/>
      </w:tblGrid>
      <w:tr w14:paraId="62011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817" w:type="dxa"/>
            <w:vAlign w:val="center"/>
          </w:tcPr>
          <w:p w14:paraId="799F76E7">
            <w:pPr>
              <w:spacing w:line="480" w:lineRule="exact"/>
              <w:jc w:val="center"/>
              <w:rPr>
                <w:rFonts w:hint="eastAsia" w:ascii="宋体" w:hAnsi="宋体" w:cs="宋体"/>
                <w:sz w:val="24"/>
                <w:szCs w:val="24"/>
              </w:rPr>
            </w:pPr>
            <w:r>
              <w:rPr>
                <w:rFonts w:hint="eastAsia" w:ascii="宋体" w:hAnsi="宋体" w:cs="宋体"/>
                <w:sz w:val="24"/>
                <w:szCs w:val="24"/>
              </w:rPr>
              <w:t>序号</w:t>
            </w:r>
          </w:p>
        </w:tc>
        <w:tc>
          <w:tcPr>
            <w:tcW w:w="1284" w:type="dxa"/>
            <w:vAlign w:val="center"/>
          </w:tcPr>
          <w:p w14:paraId="75A1815D">
            <w:pPr>
              <w:spacing w:line="480" w:lineRule="exact"/>
              <w:jc w:val="center"/>
              <w:rPr>
                <w:rFonts w:hint="eastAsia" w:ascii="宋体" w:hAnsi="宋体" w:cs="宋体"/>
                <w:sz w:val="24"/>
                <w:szCs w:val="24"/>
              </w:rPr>
            </w:pPr>
            <w:r>
              <w:rPr>
                <w:rFonts w:hint="eastAsia" w:ascii="宋体" w:hAnsi="宋体" w:cs="宋体"/>
                <w:sz w:val="24"/>
                <w:szCs w:val="24"/>
              </w:rPr>
              <w:t>评审因素</w:t>
            </w:r>
          </w:p>
        </w:tc>
        <w:tc>
          <w:tcPr>
            <w:tcW w:w="992" w:type="dxa"/>
            <w:vAlign w:val="center"/>
          </w:tcPr>
          <w:p w14:paraId="4FECB9F4">
            <w:pPr>
              <w:spacing w:line="480" w:lineRule="exact"/>
              <w:jc w:val="center"/>
              <w:rPr>
                <w:rFonts w:hint="eastAsia" w:ascii="宋体" w:hAnsi="宋体" w:cs="宋体"/>
                <w:sz w:val="24"/>
                <w:szCs w:val="24"/>
              </w:rPr>
            </w:pPr>
            <w:r>
              <w:rPr>
                <w:rFonts w:hint="eastAsia" w:ascii="宋体" w:hAnsi="宋体" w:cs="宋体"/>
                <w:sz w:val="24"/>
                <w:szCs w:val="24"/>
              </w:rPr>
              <w:t>分值</w:t>
            </w:r>
          </w:p>
        </w:tc>
        <w:tc>
          <w:tcPr>
            <w:tcW w:w="7226" w:type="dxa"/>
            <w:vAlign w:val="center"/>
          </w:tcPr>
          <w:p w14:paraId="47A6B881">
            <w:pPr>
              <w:spacing w:line="480" w:lineRule="exact"/>
              <w:jc w:val="center"/>
              <w:rPr>
                <w:rFonts w:hint="eastAsia" w:ascii="宋体" w:hAnsi="宋体" w:cs="宋体"/>
                <w:sz w:val="24"/>
                <w:szCs w:val="24"/>
              </w:rPr>
            </w:pPr>
            <w:r>
              <w:rPr>
                <w:rFonts w:hint="eastAsia" w:ascii="宋体" w:hAnsi="宋体" w:cs="宋体"/>
                <w:sz w:val="24"/>
                <w:szCs w:val="24"/>
              </w:rPr>
              <w:t>评分标准说明</w:t>
            </w:r>
          </w:p>
        </w:tc>
      </w:tr>
      <w:tr w14:paraId="4219E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9" w:hRule="atLeast"/>
          <w:jc w:val="center"/>
        </w:trPr>
        <w:tc>
          <w:tcPr>
            <w:tcW w:w="817" w:type="dxa"/>
            <w:vAlign w:val="center"/>
          </w:tcPr>
          <w:p w14:paraId="5F08BAEE">
            <w:pPr>
              <w:pStyle w:val="14"/>
              <w:spacing w:line="480" w:lineRule="exact"/>
              <w:jc w:val="center"/>
              <w:rPr>
                <w:rFonts w:hint="eastAsia" w:hAnsi="宋体" w:cs="宋体"/>
                <w:kern w:val="2"/>
                <w:sz w:val="24"/>
                <w:szCs w:val="24"/>
              </w:rPr>
            </w:pPr>
            <w:r>
              <w:rPr>
                <w:rFonts w:hint="eastAsia" w:hAnsi="宋体" w:cs="宋体"/>
                <w:kern w:val="2"/>
                <w:sz w:val="24"/>
                <w:szCs w:val="24"/>
              </w:rPr>
              <w:t>1</w:t>
            </w:r>
          </w:p>
        </w:tc>
        <w:tc>
          <w:tcPr>
            <w:tcW w:w="1284" w:type="dxa"/>
            <w:vAlign w:val="center"/>
          </w:tcPr>
          <w:p w14:paraId="6CF814B9">
            <w:pPr>
              <w:spacing w:line="480" w:lineRule="exact"/>
              <w:jc w:val="center"/>
              <w:rPr>
                <w:rFonts w:hint="eastAsia" w:ascii="宋体" w:hAnsi="宋体" w:cs="宋体"/>
                <w:kern w:val="0"/>
                <w:sz w:val="24"/>
                <w:szCs w:val="24"/>
              </w:rPr>
            </w:pPr>
            <w:r>
              <w:rPr>
                <w:rFonts w:hint="eastAsia" w:ascii="宋体" w:hAnsi="宋体" w:cs="宋体"/>
                <w:kern w:val="0"/>
                <w:sz w:val="24"/>
                <w:szCs w:val="24"/>
              </w:rPr>
              <w:t>报价得分</w:t>
            </w:r>
          </w:p>
        </w:tc>
        <w:tc>
          <w:tcPr>
            <w:tcW w:w="992" w:type="dxa"/>
            <w:vAlign w:val="center"/>
          </w:tcPr>
          <w:p w14:paraId="043FFC5D">
            <w:pPr>
              <w:spacing w:line="480" w:lineRule="exact"/>
              <w:jc w:val="center"/>
              <w:rPr>
                <w:rFonts w:hint="eastAsia" w:ascii="宋体" w:hAnsi="宋体" w:cs="宋体"/>
                <w:kern w:val="0"/>
                <w:sz w:val="24"/>
                <w:szCs w:val="24"/>
              </w:rPr>
            </w:pPr>
            <w:r>
              <w:rPr>
                <w:rFonts w:hint="eastAsia" w:ascii="宋体" w:hAnsi="宋体" w:cs="宋体"/>
                <w:kern w:val="0"/>
                <w:sz w:val="24"/>
                <w:szCs w:val="24"/>
              </w:rPr>
              <w:t>20</w:t>
            </w:r>
          </w:p>
        </w:tc>
        <w:tc>
          <w:tcPr>
            <w:tcW w:w="7226" w:type="dxa"/>
            <w:vAlign w:val="center"/>
          </w:tcPr>
          <w:p w14:paraId="25C138B4">
            <w:pPr>
              <w:spacing w:line="480" w:lineRule="exact"/>
              <w:ind w:firstLine="480" w:firstLineChars="200"/>
              <w:rPr>
                <w:rFonts w:hint="eastAsia" w:ascii="宋体" w:hAnsi="宋体" w:cs="宋体"/>
                <w:sz w:val="24"/>
                <w:szCs w:val="24"/>
              </w:rPr>
            </w:pPr>
            <w:r>
              <w:rPr>
                <w:rFonts w:ascii="宋体" w:hAnsi="宋体" w:cs="宋体"/>
                <w:sz w:val="24"/>
                <w:szCs w:val="24"/>
              </w:rPr>
              <w:t>投标报价分统一采用低价优先法计算，即满足</w:t>
            </w:r>
            <w:r>
              <w:rPr>
                <w:rFonts w:hint="eastAsia" w:hAnsi="宋体" w:cs="宋体"/>
                <w:sz w:val="24"/>
                <w:szCs w:val="24"/>
              </w:rPr>
              <w:t>竞争性磋商文件</w:t>
            </w:r>
            <w:r>
              <w:rPr>
                <w:rFonts w:ascii="宋体" w:hAnsi="宋体" w:cs="宋体"/>
                <w:sz w:val="24"/>
                <w:szCs w:val="24"/>
              </w:rPr>
              <w:t>要求且投标价格最低的投标报价为评标基准价，其价格分为满分。其他供应商的价格分统一按 照下列公式计算：</w:t>
            </w:r>
          </w:p>
          <w:p w14:paraId="00A91EB9">
            <w:pPr>
              <w:spacing w:line="480" w:lineRule="exact"/>
              <w:ind w:firstLine="480" w:firstLineChars="200"/>
              <w:rPr>
                <w:rFonts w:hint="eastAsia" w:ascii="宋体" w:hAnsi="宋体" w:cs="宋体"/>
                <w:sz w:val="24"/>
                <w:szCs w:val="24"/>
              </w:rPr>
            </w:pPr>
            <w:r>
              <w:rPr>
                <w:rFonts w:hint="eastAsia" w:ascii="宋体" w:hAnsi="宋体" w:cs="宋体"/>
                <w:sz w:val="24"/>
                <w:szCs w:val="24"/>
              </w:rPr>
              <w:t>投标报价得分=（评标基准价/投标报价）×20</w:t>
            </w:r>
          </w:p>
          <w:p w14:paraId="730C3DB3">
            <w:pPr>
              <w:pStyle w:val="14"/>
              <w:spacing w:line="480" w:lineRule="exact"/>
              <w:ind w:firstLine="480" w:firstLineChars="200"/>
              <w:jc w:val="left"/>
              <w:rPr>
                <w:rFonts w:hint="eastAsia" w:hAnsi="宋体" w:cs="宋体"/>
                <w:sz w:val="24"/>
                <w:szCs w:val="24"/>
              </w:rPr>
            </w:pPr>
            <w:r>
              <w:rPr>
                <w:rFonts w:hint="eastAsia" w:hAnsi="宋体" w:cs="宋体"/>
                <w:sz w:val="24"/>
                <w:szCs w:val="24"/>
              </w:rPr>
              <w:t>落实政府采购政策，价格调整部分附后。</w:t>
            </w:r>
          </w:p>
          <w:p w14:paraId="37A7F976">
            <w:pPr>
              <w:pStyle w:val="14"/>
              <w:spacing w:line="480" w:lineRule="exact"/>
              <w:jc w:val="left"/>
              <w:rPr>
                <w:rFonts w:hint="eastAsia" w:hAnsi="宋体" w:cs="宋体"/>
                <w:sz w:val="24"/>
                <w:szCs w:val="24"/>
              </w:rPr>
            </w:pPr>
            <w:r>
              <w:rPr>
                <w:rFonts w:hAnsi="宋体" w:cs="宋体"/>
                <w:sz w:val="24"/>
                <w:szCs w:val="24"/>
              </w:rPr>
              <w:t>注：磋商小组认为供应商的报价明显低于其他通过符合性审查供应商的报价，有能影响服务质量或者不能诚信履约的，应当要求其在评标现场合理的时间内提供书面说明，必要时提交相关证明材料；供应商不能证明其报价合理性的，磋商小组应当将其作为无效投标处理。</w:t>
            </w:r>
          </w:p>
        </w:tc>
      </w:tr>
      <w:tr w14:paraId="589C7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6" w:hRule="atLeast"/>
          <w:jc w:val="center"/>
        </w:trPr>
        <w:tc>
          <w:tcPr>
            <w:tcW w:w="817" w:type="dxa"/>
            <w:vAlign w:val="center"/>
          </w:tcPr>
          <w:p w14:paraId="76838453">
            <w:pPr>
              <w:pStyle w:val="14"/>
              <w:spacing w:line="480" w:lineRule="exact"/>
              <w:jc w:val="center"/>
              <w:rPr>
                <w:rFonts w:hint="eastAsia" w:hAnsi="宋体" w:cs="宋体"/>
                <w:kern w:val="2"/>
                <w:sz w:val="24"/>
                <w:szCs w:val="24"/>
              </w:rPr>
            </w:pPr>
            <w:r>
              <w:rPr>
                <w:rFonts w:hint="eastAsia" w:hAnsi="宋体" w:cs="宋体"/>
                <w:kern w:val="2"/>
                <w:sz w:val="24"/>
                <w:szCs w:val="24"/>
              </w:rPr>
              <w:t>2</w:t>
            </w:r>
          </w:p>
        </w:tc>
        <w:tc>
          <w:tcPr>
            <w:tcW w:w="1284" w:type="dxa"/>
            <w:vAlign w:val="center"/>
          </w:tcPr>
          <w:p w14:paraId="2E785C6A">
            <w:pPr>
              <w:pStyle w:val="58"/>
              <w:spacing w:line="480" w:lineRule="exact"/>
              <w:jc w:val="center"/>
              <w:rPr>
                <w:rFonts w:hint="eastAsia" w:ascii="宋体" w:hAnsi="宋体" w:cs="宋体"/>
                <w:color w:val="auto"/>
              </w:rPr>
            </w:pPr>
            <w:r>
              <w:rPr>
                <w:rFonts w:hint="eastAsia" w:ascii="宋体" w:hAnsi="宋体" w:cs="宋体"/>
                <w:color w:val="auto"/>
              </w:rPr>
              <w:t>企业业绩</w:t>
            </w:r>
          </w:p>
        </w:tc>
        <w:tc>
          <w:tcPr>
            <w:tcW w:w="992" w:type="dxa"/>
            <w:vAlign w:val="center"/>
          </w:tcPr>
          <w:p w14:paraId="5A7E1683">
            <w:pPr>
              <w:spacing w:line="480" w:lineRule="exact"/>
              <w:jc w:val="center"/>
              <w:rPr>
                <w:rFonts w:hint="eastAsia" w:ascii="宋体" w:hAnsi="宋体" w:cs="宋体"/>
                <w:sz w:val="24"/>
                <w:szCs w:val="24"/>
              </w:rPr>
            </w:pPr>
            <w:r>
              <w:rPr>
                <w:rFonts w:hint="eastAsia" w:ascii="宋体" w:hAnsi="宋体" w:cs="宋体"/>
                <w:sz w:val="24"/>
                <w:szCs w:val="24"/>
              </w:rPr>
              <w:t>2</w:t>
            </w:r>
          </w:p>
        </w:tc>
        <w:tc>
          <w:tcPr>
            <w:tcW w:w="7226" w:type="dxa"/>
            <w:vAlign w:val="center"/>
          </w:tcPr>
          <w:p w14:paraId="32328EC9">
            <w:pPr>
              <w:spacing w:line="420" w:lineRule="exact"/>
              <w:ind w:firstLine="480" w:firstLineChars="200"/>
              <w:rPr>
                <w:rFonts w:hint="eastAsia" w:ascii="宋体" w:hAnsi="宋体" w:cs="宋体"/>
                <w:color w:val="FF0000"/>
                <w:sz w:val="24"/>
                <w:szCs w:val="24"/>
              </w:rPr>
            </w:pPr>
            <w:r>
              <w:rPr>
                <w:rFonts w:ascii="宋体" w:hAnsi="宋体" w:cs="宋体"/>
                <w:color w:val="FF0000"/>
                <w:sz w:val="24"/>
                <w:szCs w:val="24"/>
              </w:rPr>
              <w:t>供应商 202</w:t>
            </w:r>
            <w:r>
              <w:rPr>
                <w:rFonts w:hint="eastAsia" w:ascii="宋体" w:hAnsi="宋体" w:cs="宋体"/>
                <w:color w:val="FF0000"/>
                <w:sz w:val="24"/>
                <w:szCs w:val="24"/>
              </w:rPr>
              <w:t>3</w:t>
            </w:r>
            <w:r>
              <w:rPr>
                <w:rFonts w:ascii="宋体" w:hAnsi="宋体" w:cs="宋体"/>
                <w:color w:val="FF0000"/>
                <w:sz w:val="24"/>
                <w:szCs w:val="24"/>
              </w:rPr>
              <w:t xml:space="preserve">年 1 月 1 日以来承担过类似业绩，每项得 </w:t>
            </w:r>
            <w:r>
              <w:rPr>
                <w:rFonts w:hint="eastAsia" w:ascii="宋体" w:hAnsi="宋体" w:cs="宋体"/>
                <w:color w:val="FF0000"/>
                <w:sz w:val="24"/>
                <w:szCs w:val="24"/>
              </w:rPr>
              <w:t>1</w:t>
            </w:r>
            <w:r>
              <w:rPr>
                <w:rFonts w:ascii="宋体" w:hAnsi="宋体" w:cs="宋体"/>
                <w:color w:val="FF0000"/>
                <w:sz w:val="24"/>
                <w:szCs w:val="24"/>
              </w:rPr>
              <w:t xml:space="preserve">分，最多得 </w:t>
            </w:r>
            <w:r>
              <w:rPr>
                <w:rFonts w:hint="eastAsia" w:ascii="宋体" w:hAnsi="宋体" w:cs="宋体"/>
                <w:color w:val="FF0000"/>
                <w:sz w:val="24"/>
                <w:szCs w:val="24"/>
              </w:rPr>
              <w:t>2</w:t>
            </w:r>
            <w:r>
              <w:rPr>
                <w:rFonts w:ascii="宋体" w:hAnsi="宋体" w:cs="宋体"/>
                <w:color w:val="FF0000"/>
                <w:sz w:val="24"/>
                <w:szCs w:val="24"/>
              </w:rPr>
              <w:t>分。（以合同签订时间为准，响应文件附合同原件扫描件，否则不得分）</w:t>
            </w:r>
          </w:p>
        </w:tc>
      </w:tr>
      <w:tr w14:paraId="1198F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6" w:hRule="atLeast"/>
          <w:jc w:val="center"/>
        </w:trPr>
        <w:tc>
          <w:tcPr>
            <w:tcW w:w="817" w:type="dxa"/>
            <w:vAlign w:val="center"/>
          </w:tcPr>
          <w:p w14:paraId="0691FD15">
            <w:pPr>
              <w:pStyle w:val="14"/>
              <w:spacing w:line="480" w:lineRule="exact"/>
              <w:jc w:val="center"/>
              <w:rPr>
                <w:rFonts w:hint="eastAsia" w:hAnsi="宋体" w:cs="宋体"/>
                <w:kern w:val="2"/>
                <w:sz w:val="24"/>
                <w:szCs w:val="24"/>
              </w:rPr>
            </w:pPr>
            <w:r>
              <w:rPr>
                <w:rFonts w:hint="eastAsia" w:hAnsi="宋体" w:cs="宋体"/>
                <w:kern w:val="2"/>
                <w:sz w:val="24"/>
                <w:szCs w:val="24"/>
              </w:rPr>
              <w:t>3</w:t>
            </w:r>
          </w:p>
        </w:tc>
        <w:tc>
          <w:tcPr>
            <w:tcW w:w="1284" w:type="dxa"/>
            <w:vAlign w:val="center"/>
          </w:tcPr>
          <w:p w14:paraId="29A6D48A">
            <w:pPr>
              <w:pStyle w:val="58"/>
              <w:spacing w:line="480" w:lineRule="exact"/>
              <w:jc w:val="center"/>
              <w:rPr>
                <w:rFonts w:hint="eastAsia" w:ascii="宋体" w:hAnsi="宋体" w:cs="宋体"/>
                <w:color w:val="auto"/>
              </w:rPr>
            </w:pPr>
            <w:r>
              <w:rPr>
                <w:rFonts w:hint="eastAsia" w:ascii="宋体" w:hAnsi="宋体" w:cs="宋体"/>
                <w:color w:val="auto"/>
              </w:rPr>
              <w:t>企业实力</w:t>
            </w:r>
          </w:p>
        </w:tc>
        <w:tc>
          <w:tcPr>
            <w:tcW w:w="992" w:type="dxa"/>
            <w:vAlign w:val="center"/>
          </w:tcPr>
          <w:p w14:paraId="003477AC">
            <w:pPr>
              <w:spacing w:line="480" w:lineRule="exact"/>
              <w:jc w:val="center"/>
              <w:rPr>
                <w:rFonts w:hint="eastAsia" w:ascii="宋体" w:hAnsi="宋体" w:cs="宋体"/>
                <w:sz w:val="24"/>
                <w:szCs w:val="24"/>
              </w:rPr>
            </w:pPr>
            <w:r>
              <w:rPr>
                <w:rFonts w:hint="eastAsia" w:ascii="宋体" w:hAnsi="宋体" w:cs="宋体"/>
                <w:sz w:val="24"/>
                <w:szCs w:val="24"/>
              </w:rPr>
              <w:t>9</w:t>
            </w:r>
          </w:p>
        </w:tc>
        <w:tc>
          <w:tcPr>
            <w:tcW w:w="7226" w:type="dxa"/>
            <w:vAlign w:val="center"/>
          </w:tcPr>
          <w:p w14:paraId="77DFA42C">
            <w:pPr>
              <w:spacing w:line="420" w:lineRule="exact"/>
              <w:ind w:firstLine="480" w:firstLineChars="200"/>
              <w:rPr>
                <w:rFonts w:hint="eastAsia" w:ascii="宋体" w:hAnsi="宋体" w:cs="宋体"/>
                <w:color w:val="FF0000"/>
                <w:sz w:val="24"/>
                <w:szCs w:val="24"/>
              </w:rPr>
            </w:pPr>
            <w:r>
              <w:rPr>
                <w:rFonts w:hint="eastAsia" w:ascii="宋体" w:hAnsi="宋体" w:cs="宋体"/>
                <w:color w:val="FF0000"/>
                <w:sz w:val="24"/>
                <w:szCs w:val="24"/>
              </w:rPr>
              <w:t>1、投标人具有ISO9001质量管理体系认证证书、ISO27001信息安全管理体系认证证书，以上证书每提供一个得0.5分，最高得1分，没有不得分。</w:t>
            </w:r>
          </w:p>
          <w:p w14:paraId="59AA3002">
            <w:pPr>
              <w:spacing w:line="420" w:lineRule="exact"/>
              <w:ind w:firstLine="480" w:firstLineChars="200"/>
              <w:rPr>
                <w:rFonts w:hint="eastAsia" w:ascii="宋体" w:hAnsi="宋体" w:cs="宋体"/>
                <w:color w:val="FF0000"/>
                <w:sz w:val="24"/>
                <w:szCs w:val="24"/>
              </w:rPr>
            </w:pPr>
            <w:r>
              <w:rPr>
                <w:rFonts w:hint="eastAsia" w:ascii="宋体" w:hAnsi="宋体" w:cs="宋体"/>
                <w:color w:val="FF0000"/>
                <w:sz w:val="24"/>
                <w:szCs w:val="24"/>
              </w:rPr>
              <w:t>2、投标人具有中国网络安全审查技术与认证中心颁发的信息安全服务资质认证证书（软件安全开发）、信息安全服务资质认证证书（信息系统安全运维），其中一级证书每个得2分，二级及以下证书每个得1分，最高得4分，没有不得分。</w:t>
            </w:r>
          </w:p>
          <w:p w14:paraId="7100A6E6">
            <w:pPr>
              <w:spacing w:line="420" w:lineRule="exact"/>
              <w:ind w:firstLine="480" w:firstLineChars="200"/>
              <w:rPr>
                <w:rFonts w:hint="eastAsia" w:ascii="宋体" w:hAnsi="宋体" w:cs="宋体"/>
                <w:color w:val="FF0000"/>
                <w:sz w:val="24"/>
                <w:szCs w:val="24"/>
              </w:rPr>
            </w:pPr>
            <w:r>
              <w:rPr>
                <w:rFonts w:hint="eastAsia" w:ascii="宋体" w:hAnsi="宋体" w:cs="宋体"/>
                <w:color w:val="FF0000"/>
                <w:sz w:val="24"/>
                <w:szCs w:val="24"/>
              </w:rPr>
              <w:t>4、投标人具有CMMI软件能力成熟度五级证书、ITSS信息技术服务标准符合性证书（运行维护）、ITSS信息技术服务标准符合性证书（咨询设计），以上证书全部提供得4分，缺少一个扣2分，不提供不得分。</w:t>
            </w:r>
          </w:p>
          <w:p w14:paraId="410FAE28">
            <w:pPr>
              <w:spacing w:line="420" w:lineRule="exact"/>
              <w:ind w:firstLine="480" w:firstLineChars="200"/>
              <w:rPr>
                <w:rFonts w:hint="eastAsia" w:ascii="宋体" w:hAnsi="宋体" w:cs="宋体"/>
                <w:color w:val="FF0000"/>
                <w:sz w:val="24"/>
                <w:szCs w:val="24"/>
              </w:rPr>
            </w:pPr>
            <w:r>
              <w:rPr>
                <w:rFonts w:hint="eastAsia" w:ascii="宋体" w:hAnsi="宋体" w:cs="宋体"/>
                <w:color w:val="FF0000"/>
                <w:sz w:val="24"/>
                <w:szCs w:val="24"/>
              </w:rPr>
              <w:t>注：须提供有效的资质证书扫描件。</w:t>
            </w:r>
          </w:p>
        </w:tc>
      </w:tr>
      <w:tr w14:paraId="339E7A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6" w:hRule="atLeast"/>
          <w:jc w:val="center"/>
        </w:trPr>
        <w:tc>
          <w:tcPr>
            <w:tcW w:w="817" w:type="dxa"/>
            <w:vAlign w:val="center"/>
          </w:tcPr>
          <w:p w14:paraId="3550C0A3">
            <w:pPr>
              <w:pStyle w:val="14"/>
              <w:spacing w:line="480" w:lineRule="exact"/>
              <w:jc w:val="center"/>
              <w:rPr>
                <w:rFonts w:hint="eastAsia" w:hAnsi="宋体" w:cs="宋体"/>
                <w:kern w:val="2"/>
                <w:sz w:val="24"/>
                <w:szCs w:val="24"/>
              </w:rPr>
            </w:pPr>
            <w:r>
              <w:rPr>
                <w:rFonts w:hint="eastAsia" w:hAnsi="宋体" w:cs="宋体"/>
                <w:kern w:val="2"/>
                <w:sz w:val="24"/>
                <w:szCs w:val="24"/>
              </w:rPr>
              <w:t>4</w:t>
            </w:r>
          </w:p>
        </w:tc>
        <w:tc>
          <w:tcPr>
            <w:tcW w:w="1284" w:type="dxa"/>
            <w:vAlign w:val="center"/>
          </w:tcPr>
          <w:p w14:paraId="75FAF884">
            <w:pPr>
              <w:pStyle w:val="58"/>
              <w:spacing w:line="480" w:lineRule="exact"/>
              <w:jc w:val="center"/>
              <w:rPr>
                <w:rFonts w:hint="eastAsia" w:ascii="宋体" w:hAnsi="宋体" w:cs="宋体"/>
                <w:color w:val="auto"/>
              </w:rPr>
            </w:pPr>
            <w:r>
              <w:rPr>
                <w:rFonts w:hint="eastAsia" w:ascii="宋体" w:hAnsi="宋体" w:cs="宋体"/>
                <w:color w:val="auto"/>
              </w:rPr>
              <w:t>团队人员</w:t>
            </w:r>
          </w:p>
        </w:tc>
        <w:tc>
          <w:tcPr>
            <w:tcW w:w="992" w:type="dxa"/>
            <w:vAlign w:val="center"/>
          </w:tcPr>
          <w:p w14:paraId="381CCED9">
            <w:pPr>
              <w:spacing w:line="480" w:lineRule="exact"/>
              <w:jc w:val="center"/>
              <w:rPr>
                <w:rFonts w:hint="eastAsia" w:ascii="宋体" w:hAnsi="宋体" w:cs="宋体"/>
                <w:sz w:val="24"/>
                <w:szCs w:val="24"/>
              </w:rPr>
            </w:pPr>
            <w:r>
              <w:rPr>
                <w:rFonts w:hint="eastAsia" w:ascii="宋体" w:hAnsi="宋体" w:cs="宋体"/>
                <w:sz w:val="24"/>
                <w:szCs w:val="24"/>
              </w:rPr>
              <w:t>4</w:t>
            </w:r>
          </w:p>
        </w:tc>
        <w:tc>
          <w:tcPr>
            <w:tcW w:w="7226" w:type="dxa"/>
            <w:vAlign w:val="center"/>
          </w:tcPr>
          <w:p w14:paraId="44382E14">
            <w:pPr>
              <w:spacing w:line="420" w:lineRule="exac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1、项目技术负责人同时具有高级信息系统项目管理师证书、高级系统分析师证书、高级系统规划与管理师证书、信息安全保障人员认证证书（CISAW）四项证书的得2分，每缺1项证书扣1分，扣完为止。。</w:t>
            </w:r>
          </w:p>
          <w:p w14:paraId="3A4C878A">
            <w:pPr>
              <w:spacing w:line="420" w:lineRule="exac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2、除技术负责人外，拟投入的项目组成员中具有：</w:t>
            </w:r>
          </w:p>
          <w:p w14:paraId="24F87D8B">
            <w:pPr>
              <w:spacing w:line="420" w:lineRule="exac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高级信息系统项目管理师证书、高级系统架构师证书、高级系统规划与管理师证书、软件设计师证书，每个证书得0.5分，同一人员多项证书的不重复计分，本项最多得2分。</w:t>
            </w:r>
          </w:p>
          <w:p w14:paraId="6BF5111D">
            <w:pPr>
              <w:spacing w:line="420" w:lineRule="exact"/>
              <w:ind w:firstLine="482" w:firstLineChars="200"/>
              <w:rPr>
                <w:rFonts w:hint="eastAsia" w:ascii="宋体" w:hAnsi="宋体" w:cs="宋体"/>
                <w:b/>
                <w:bCs/>
                <w:color w:val="FF0000"/>
                <w:sz w:val="24"/>
                <w:szCs w:val="24"/>
              </w:rPr>
            </w:pPr>
            <w:r>
              <w:rPr>
                <w:rFonts w:hint="eastAsia" w:ascii="宋体" w:hAnsi="宋体" w:cs="宋体"/>
                <w:b/>
                <w:bCs/>
                <w:color w:val="FF0000"/>
                <w:sz w:val="24"/>
                <w:szCs w:val="24"/>
              </w:rPr>
              <w:t>注：须提供人员证书扫描件、2025年1月以来任意连续三个月投标人为其缴纳社保的证明材料。</w:t>
            </w:r>
          </w:p>
        </w:tc>
      </w:tr>
    </w:tbl>
    <w:p w14:paraId="61D4088C">
      <w:pPr>
        <w:outlineLvl w:val="2"/>
        <w:rPr>
          <w:rFonts w:hint="eastAsia" w:ascii="宋体" w:hAnsi="宋体" w:cs="宋体"/>
          <w:b/>
          <w:bCs/>
          <w:sz w:val="24"/>
          <w:szCs w:val="24"/>
        </w:rPr>
      </w:pPr>
      <w:r>
        <w:rPr>
          <w:rFonts w:hint="eastAsia" w:ascii="宋体" w:hAnsi="宋体" w:cs="宋体"/>
          <w:b/>
          <w:bCs/>
          <w:sz w:val="24"/>
          <w:szCs w:val="24"/>
        </w:rPr>
        <w:t>B. 技术标得分60分</w:t>
      </w:r>
    </w:p>
    <w:tbl>
      <w:tblPr>
        <w:tblStyle w:val="28"/>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6"/>
        <w:gridCol w:w="886"/>
        <w:gridCol w:w="1666"/>
        <w:gridCol w:w="5589"/>
      </w:tblGrid>
      <w:tr w14:paraId="3A8F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3" w:type="dxa"/>
            <w:vAlign w:val="center"/>
          </w:tcPr>
          <w:p w14:paraId="1E58BF53">
            <w:pPr>
              <w:spacing w:line="300" w:lineRule="exact"/>
              <w:jc w:val="center"/>
              <w:rPr>
                <w:rFonts w:ascii="宋体"/>
                <w:sz w:val="24"/>
                <w:szCs w:val="24"/>
              </w:rPr>
            </w:pPr>
            <w:r>
              <w:rPr>
                <w:rFonts w:hint="eastAsia" w:ascii="宋体" w:hAnsi="宋体" w:cs="宋体"/>
                <w:sz w:val="24"/>
                <w:szCs w:val="24"/>
              </w:rPr>
              <w:t>序号</w:t>
            </w:r>
          </w:p>
        </w:tc>
        <w:tc>
          <w:tcPr>
            <w:tcW w:w="1301" w:type="dxa"/>
            <w:vAlign w:val="center"/>
          </w:tcPr>
          <w:p w14:paraId="4DB08C2C">
            <w:pPr>
              <w:spacing w:line="300" w:lineRule="exact"/>
              <w:jc w:val="center"/>
              <w:rPr>
                <w:rFonts w:ascii="宋体"/>
                <w:sz w:val="24"/>
                <w:szCs w:val="24"/>
              </w:rPr>
            </w:pPr>
            <w:r>
              <w:rPr>
                <w:rFonts w:hint="eastAsia" w:ascii="宋体" w:hAnsi="宋体" w:cs="宋体"/>
                <w:sz w:val="24"/>
                <w:szCs w:val="24"/>
              </w:rPr>
              <w:t>评审因素</w:t>
            </w:r>
          </w:p>
        </w:tc>
        <w:tc>
          <w:tcPr>
            <w:tcW w:w="902" w:type="dxa"/>
            <w:vAlign w:val="center"/>
          </w:tcPr>
          <w:p w14:paraId="08FE5698">
            <w:pPr>
              <w:spacing w:line="300" w:lineRule="exact"/>
              <w:jc w:val="center"/>
              <w:rPr>
                <w:rFonts w:ascii="宋体"/>
                <w:sz w:val="24"/>
                <w:szCs w:val="24"/>
              </w:rPr>
            </w:pPr>
            <w:r>
              <w:rPr>
                <w:rFonts w:hint="eastAsia" w:ascii="宋体" w:hAnsi="宋体" w:cs="宋体"/>
                <w:sz w:val="24"/>
                <w:szCs w:val="24"/>
              </w:rPr>
              <w:t>分值</w:t>
            </w:r>
          </w:p>
        </w:tc>
        <w:tc>
          <w:tcPr>
            <w:tcW w:w="7420" w:type="dxa"/>
            <w:gridSpan w:val="2"/>
            <w:vAlign w:val="center"/>
          </w:tcPr>
          <w:p w14:paraId="204CBA32">
            <w:pPr>
              <w:spacing w:line="300" w:lineRule="exact"/>
              <w:jc w:val="center"/>
              <w:rPr>
                <w:rFonts w:ascii="宋体"/>
                <w:b/>
                <w:bCs/>
                <w:sz w:val="24"/>
                <w:szCs w:val="24"/>
              </w:rPr>
            </w:pPr>
            <w:r>
              <w:rPr>
                <w:rFonts w:hint="eastAsia" w:ascii="宋体" w:hAnsi="宋体" w:cs="宋体"/>
                <w:sz w:val="24"/>
                <w:szCs w:val="24"/>
              </w:rPr>
              <w:t>评分标准说明</w:t>
            </w:r>
          </w:p>
        </w:tc>
      </w:tr>
      <w:tr w14:paraId="2A3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3" w:type="dxa"/>
            <w:vMerge w:val="restart"/>
            <w:vAlign w:val="center"/>
          </w:tcPr>
          <w:p w14:paraId="3ABB4072">
            <w:pPr>
              <w:spacing w:line="440" w:lineRule="exact"/>
              <w:jc w:val="center"/>
              <w:rPr>
                <w:rFonts w:hint="eastAsia" w:ascii="宋体" w:hAnsi="宋体" w:cs="宋体"/>
                <w:sz w:val="24"/>
                <w:szCs w:val="24"/>
              </w:rPr>
            </w:pPr>
            <w:r>
              <w:rPr>
                <w:rFonts w:ascii="宋体" w:hAnsi="宋体" w:cs="宋体"/>
                <w:sz w:val="24"/>
                <w:szCs w:val="24"/>
              </w:rPr>
              <w:t>1</w:t>
            </w:r>
          </w:p>
        </w:tc>
        <w:tc>
          <w:tcPr>
            <w:tcW w:w="1301" w:type="dxa"/>
            <w:vMerge w:val="restart"/>
            <w:vAlign w:val="center"/>
          </w:tcPr>
          <w:p w14:paraId="3CA42B22">
            <w:pPr>
              <w:widowControl/>
              <w:spacing w:line="440" w:lineRule="exact"/>
              <w:jc w:val="center"/>
              <w:rPr>
                <w:sz w:val="24"/>
                <w:szCs w:val="24"/>
              </w:rPr>
            </w:pPr>
            <w:r>
              <w:rPr>
                <w:rFonts w:hint="eastAsia"/>
                <w:sz w:val="24"/>
                <w:szCs w:val="24"/>
              </w:rPr>
              <w:t>技术方案</w:t>
            </w:r>
          </w:p>
        </w:tc>
        <w:tc>
          <w:tcPr>
            <w:tcW w:w="902" w:type="dxa"/>
            <w:vMerge w:val="restart"/>
            <w:vAlign w:val="center"/>
          </w:tcPr>
          <w:p w14:paraId="01178967">
            <w:pPr>
              <w:widowControl/>
              <w:adjustRightInd w:val="0"/>
              <w:snapToGrid w:val="0"/>
              <w:spacing w:line="440" w:lineRule="exact"/>
              <w:jc w:val="center"/>
              <w:rPr>
                <w:rFonts w:ascii="宋体" w:cs="宋体"/>
                <w:sz w:val="24"/>
                <w:szCs w:val="24"/>
              </w:rPr>
            </w:pPr>
            <w:r>
              <w:rPr>
                <w:rFonts w:hint="eastAsia" w:ascii="宋体" w:cs="宋体"/>
                <w:sz w:val="24"/>
                <w:szCs w:val="24"/>
              </w:rPr>
              <w:t>60</w:t>
            </w:r>
          </w:p>
        </w:tc>
        <w:tc>
          <w:tcPr>
            <w:tcW w:w="1701" w:type="dxa"/>
            <w:vAlign w:val="center"/>
          </w:tcPr>
          <w:p w14:paraId="7EFEE3EB">
            <w:pPr>
              <w:pStyle w:val="90"/>
              <w:spacing w:before="194" w:line="220" w:lineRule="auto"/>
              <w:ind w:left="22"/>
              <w:rPr>
                <w:rFonts w:hint="eastAsia"/>
                <w:lang w:eastAsia="zh-CN"/>
              </w:rPr>
            </w:pPr>
            <w:r>
              <w:rPr>
                <w:rFonts w:hint="eastAsia"/>
                <w:color w:val="000000"/>
                <w:kern w:val="0"/>
                <w:lang w:bidi="ar"/>
              </w:rPr>
              <w:t>技术响应情况（30分）</w:t>
            </w:r>
          </w:p>
        </w:tc>
        <w:tc>
          <w:tcPr>
            <w:tcW w:w="5719" w:type="dxa"/>
            <w:vAlign w:val="center"/>
          </w:tcPr>
          <w:p w14:paraId="137AB4B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1.投标产品技术参数、性能及产品功能全部满足招标文件要求的得30分：</w:t>
            </w:r>
          </w:p>
          <w:p w14:paraId="6573D015">
            <w:pPr>
              <w:pStyle w:val="90"/>
              <w:spacing w:before="182" w:line="333" w:lineRule="auto"/>
              <w:ind w:left="113" w:right="108"/>
              <w:rPr>
                <w:rFonts w:hint="eastAsia"/>
                <w:color w:val="000000"/>
                <w:kern w:val="0"/>
                <w:lang w:eastAsia="zh-CN" w:bidi="ar"/>
              </w:rPr>
            </w:pPr>
            <w:r>
              <w:rPr>
                <w:rFonts w:hint="eastAsia"/>
                <w:color w:val="000000"/>
                <w:kern w:val="0"/>
                <w:lang w:eastAsia="zh-CN" w:bidi="ar"/>
              </w:rPr>
              <w:t>2.加“★”项技术指标为重要指标，每有一项不满足，扣1分；其他为一般技术指标，每有一项不满足扣0.5分，扣完为止。注：投标人须在投标文件中提供“★”项相关技术支持资料（详见参数要求）</w:t>
            </w:r>
          </w:p>
          <w:p w14:paraId="27029C48">
            <w:pPr>
              <w:pStyle w:val="90"/>
              <w:spacing w:before="182" w:line="333" w:lineRule="auto"/>
              <w:ind w:left="113" w:right="108"/>
              <w:rPr>
                <w:rFonts w:hint="eastAsia"/>
                <w:lang w:eastAsia="zh-CN"/>
              </w:rPr>
            </w:pPr>
            <w:r>
              <w:rPr>
                <w:rFonts w:hint="eastAsia"/>
                <w:color w:val="000000"/>
                <w:kern w:val="0"/>
                <w:lang w:eastAsia="zh-CN" w:bidi="ar"/>
              </w:rPr>
              <w:t>注;未按要求提供的不作为废标项，仅作为评分依据。</w:t>
            </w:r>
          </w:p>
        </w:tc>
      </w:tr>
      <w:tr w14:paraId="358A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43" w:type="dxa"/>
            <w:vMerge w:val="continue"/>
            <w:vAlign w:val="center"/>
          </w:tcPr>
          <w:p w14:paraId="66538565">
            <w:pPr>
              <w:spacing w:line="440" w:lineRule="exact"/>
              <w:jc w:val="center"/>
              <w:rPr>
                <w:rFonts w:hint="eastAsia" w:ascii="宋体" w:hAnsi="宋体" w:cs="宋体"/>
                <w:sz w:val="24"/>
                <w:szCs w:val="24"/>
              </w:rPr>
            </w:pPr>
          </w:p>
        </w:tc>
        <w:tc>
          <w:tcPr>
            <w:tcW w:w="1301" w:type="dxa"/>
            <w:vMerge w:val="continue"/>
            <w:vAlign w:val="center"/>
          </w:tcPr>
          <w:p w14:paraId="2D315B9E">
            <w:pPr>
              <w:widowControl/>
              <w:spacing w:line="440" w:lineRule="exact"/>
              <w:jc w:val="center"/>
              <w:rPr>
                <w:sz w:val="24"/>
                <w:szCs w:val="24"/>
              </w:rPr>
            </w:pPr>
          </w:p>
        </w:tc>
        <w:tc>
          <w:tcPr>
            <w:tcW w:w="902" w:type="dxa"/>
            <w:vMerge w:val="continue"/>
            <w:vAlign w:val="center"/>
          </w:tcPr>
          <w:p w14:paraId="599493C3">
            <w:pPr>
              <w:widowControl/>
              <w:adjustRightInd w:val="0"/>
              <w:snapToGrid w:val="0"/>
              <w:spacing w:line="440" w:lineRule="exact"/>
              <w:jc w:val="center"/>
              <w:rPr>
                <w:rFonts w:ascii="宋体" w:cs="宋体"/>
                <w:sz w:val="24"/>
                <w:szCs w:val="24"/>
              </w:rPr>
            </w:pPr>
          </w:p>
        </w:tc>
        <w:tc>
          <w:tcPr>
            <w:tcW w:w="1701" w:type="dxa"/>
            <w:vAlign w:val="center"/>
          </w:tcPr>
          <w:p w14:paraId="33F5981A">
            <w:pPr>
              <w:pStyle w:val="90"/>
              <w:spacing w:before="112" w:line="220" w:lineRule="auto"/>
              <w:ind w:left="22"/>
              <w:rPr>
                <w:rFonts w:hint="eastAsia"/>
                <w:lang w:eastAsia="zh-CN"/>
              </w:rPr>
            </w:pPr>
            <w:r>
              <w:rPr>
                <w:rFonts w:hint="eastAsia" w:cs="仿宋"/>
                <w:color w:val="000000"/>
                <w:kern w:val="0"/>
              </w:rPr>
              <w:t>技术方案（5分）</w:t>
            </w:r>
          </w:p>
        </w:tc>
        <w:tc>
          <w:tcPr>
            <w:tcW w:w="5719" w:type="dxa"/>
            <w:vAlign w:val="center"/>
          </w:tcPr>
          <w:p w14:paraId="6FD8E56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人应提供详细的总体技术方案。设计应合理、完整、可行，符合国家卫生行业信息系统建设相应的总体架构设计。架构设计满足医院管理、业务开展、居民健康管理等需求以及能够服务于卫生机构。评委根据方案详尽程度进行打分：</w:t>
            </w:r>
          </w:p>
          <w:p w14:paraId="6EE47C1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1.技术方案整体架构设计科学合理，充分满足项目实际需求、考虑性能、可用性、稳定性、扩展性要求，技术路线合理清晰可实施性高，系统功能合理完善的，得5分；</w:t>
            </w:r>
          </w:p>
          <w:p w14:paraId="4E79BE6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2.技术方案整体架构基本合理，能在一定程度上满足实际需求具有一定的扩展性，系统功能基本合理的，得3分；</w:t>
            </w:r>
          </w:p>
          <w:p w14:paraId="2F8A178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3.技术方案在满足用户要求方面未能完全满足，拓展性不强，系统功能不全面的，得1分；</w:t>
            </w:r>
          </w:p>
          <w:p w14:paraId="5FB4C8DE">
            <w:pPr>
              <w:pStyle w:val="90"/>
              <w:spacing w:before="182" w:line="321" w:lineRule="auto"/>
              <w:ind w:right="108"/>
              <w:rPr>
                <w:rFonts w:hint="eastAsia"/>
              </w:rPr>
            </w:pPr>
            <w:r>
              <w:rPr>
                <w:rFonts w:hint="eastAsia"/>
                <w:color w:val="000000"/>
                <w:kern w:val="0"/>
                <w:lang w:bidi="ar"/>
              </w:rPr>
              <w:t>4.未提供的不得分。</w:t>
            </w:r>
          </w:p>
        </w:tc>
      </w:tr>
      <w:tr w14:paraId="395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3" w:type="dxa"/>
            <w:vMerge w:val="continue"/>
            <w:vAlign w:val="center"/>
          </w:tcPr>
          <w:p w14:paraId="27694108">
            <w:pPr>
              <w:spacing w:line="440" w:lineRule="exact"/>
              <w:jc w:val="center"/>
              <w:rPr>
                <w:rFonts w:hint="eastAsia" w:ascii="宋体" w:hAnsi="宋体" w:cs="宋体"/>
                <w:sz w:val="24"/>
                <w:szCs w:val="24"/>
              </w:rPr>
            </w:pPr>
          </w:p>
        </w:tc>
        <w:tc>
          <w:tcPr>
            <w:tcW w:w="1301" w:type="dxa"/>
            <w:vMerge w:val="continue"/>
            <w:vAlign w:val="center"/>
          </w:tcPr>
          <w:p w14:paraId="0BF0A70D">
            <w:pPr>
              <w:widowControl/>
              <w:spacing w:line="440" w:lineRule="exact"/>
              <w:jc w:val="center"/>
              <w:rPr>
                <w:sz w:val="24"/>
                <w:szCs w:val="24"/>
              </w:rPr>
            </w:pPr>
          </w:p>
        </w:tc>
        <w:tc>
          <w:tcPr>
            <w:tcW w:w="902" w:type="dxa"/>
            <w:vMerge w:val="continue"/>
            <w:vAlign w:val="center"/>
          </w:tcPr>
          <w:p w14:paraId="2A455AB7">
            <w:pPr>
              <w:widowControl/>
              <w:adjustRightInd w:val="0"/>
              <w:snapToGrid w:val="0"/>
              <w:spacing w:line="440" w:lineRule="exact"/>
              <w:jc w:val="center"/>
              <w:rPr>
                <w:rFonts w:ascii="宋体" w:cs="宋体"/>
                <w:sz w:val="24"/>
                <w:szCs w:val="24"/>
              </w:rPr>
            </w:pPr>
          </w:p>
        </w:tc>
        <w:tc>
          <w:tcPr>
            <w:tcW w:w="1701" w:type="dxa"/>
            <w:vAlign w:val="center"/>
          </w:tcPr>
          <w:p w14:paraId="41B5F2C6">
            <w:pPr>
              <w:pStyle w:val="90"/>
              <w:spacing w:before="113" w:line="220" w:lineRule="auto"/>
              <w:ind w:firstLine="21" w:firstLineChars="9"/>
              <w:rPr>
                <w:rFonts w:hint="eastAsia"/>
              </w:rPr>
            </w:pPr>
            <w:r>
              <w:rPr>
                <w:rFonts w:hint="eastAsia"/>
                <w:color w:val="000000"/>
                <w:kern w:val="0"/>
                <w:lang w:bidi="ar"/>
              </w:rPr>
              <w:t>实施方案（5分）</w:t>
            </w:r>
          </w:p>
        </w:tc>
        <w:tc>
          <w:tcPr>
            <w:tcW w:w="5719" w:type="dxa"/>
            <w:vAlign w:val="center"/>
          </w:tcPr>
          <w:p w14:paraId="7C2F7D0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根据招标文件要求，投标人对项目背景、项目需求有深刻理解，并根据项目需求提供完整详实的实施方案，方案应能充分体现采购人的需求。方案需包含但不限于：</w:t>
            </w:r>
          </w:p>
          <w:p w14:paraId="44DC735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1.需求分析</w:t>
            </w:r>
          </w:p>
          <w:p w14:paraId="5841F64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2.实施组织架构</w:t>
            </w:r>
          </w:p>
          <w:p w14:paraId="7591A635">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3.实施计划</w:t>
            </w:r>
          </w:p>
          <w:p w14:paraId="6FA223BB">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4.实施周期进度及项目管理</w:t>
            </w:r>
          </w:p>
          <w:p w14:paraId="3A41AD1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5.质量保障措施及风险控制</w:t>
            </w:r>
          </w:p>
          <w:p w14:paraId="049A9524">
            <w:pPr>
              <w:pStyle w:val="90"/>
              <w:spacing w:before="250" w:line="323" w:lineRule="auto"/>
              <w:ind w:left="113" w:right="108"/>
              <w:rPr>
                <w:rFonts w:hint="eastAsia"/>
                <w:kern w:val="0"/>
                <w:lang w:val="zh-CN" w:eastAsia="zh-CN"/>
              </w:rPr>
            </w:pPr>
            <w:r>
              <w:rPr>
                <w:rFonts w:hint="eastAsia"/>
                <w:color w:val="000000"/>
                <w:kern w:val="0"/>
                <w:lang w:eastAsia="zh-CN" w:bidi="ar"/>
              </w:rPr>
              <w:t>方案中包含以上要素，完全符合项目实际和采购需求，每项得1分；包含以上要素，但表述不具体、不完整，每项得0.5分；有缺项的，该项不得分。</w:t>
            </w:r>
          </w:p>
        </w:tc>
      </w:tr>
      <w:tr w14:paraId="500B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43" w:type="dxa"/>
            <w:vMerge w:val="continue"/>
            <w:vAlign w:val="center"/>
          </w:tcPr>
          <w:p w14:paraId="098DA3C9">
            <w:pPr>
              <w:spacing w:line="440" w:lineRule="exact"/>
              <w:jc w:val="center"/>
              <w:rPr>
                <w:rFonts w:hint="eastAsia" w:ascii="宋体" w:hAnsi="宋体" w:cs="宋体"/>
                <w:sz w:val="24"/>
                <w:szCs w:val="24"/>
              </w:rPr>
            </w:pPr>
          </w:p>
        </w:tc>
        <w:tc>
          <w:tcPr>
            <w:tcW w:w="1301" w:type="dxa"/>
            <w:vMerge w:val="continue"/>
            <w:vAlign w:val="center"/>
          </w:tcPr>
          <w:p w14:paraId="19D11483">
            <w:pPr>
              <w:widowControl/>
              <w:spacing w:line="440" w:lineRule="exact"/>
              <w:jc w:val="center"/>
              <w:rPr>
                <w:sz w:val="24"/>
                <w:szCs w:val="24"/>
              </w:rPr>
            </w:pPr>
          </w:p>
        </w:tc>
        <w:tc>
          <w:tcPr>
            <w:tcW w:w="902" w:type="dxa"/>
            <w:vMerge w:val="continue"/>
            <w:vAlign w:val="center"/>
          </w:tcPr>
          <w:p w14:paraId="050CABCD">
            <w:pPr>
              <w:widowControl/>
              <w:adjustRightInd w:val="0"/>
              <w:snapToGrid w:val="0"/>
              <w:spacing w:line="440" w:lineRule="exact"/>
              <w:jc w:val="center"/>
              <w:rPr>
                <w:rFonts w:ascii="宋体" w:cs="宋体"/>
                <w:sz w:val="24"/>
                <w:szCs w:val="24"/>
              </w:rPr>
            </w:pPr>
          </w:p>
        </w:tc>
        <w:tc>
          <w:tcPr>
            <w:tcW w:w="1701" w:type="dxa"/>
            <w:vAlign w:val="center"/>
          </w:tcPr>
          <w:p w14:paraId="52279284">
            <w:pPr>
              <w:jc w:val="center"/>
              <w:rPr>
                <w:rFonts w:hint="eastAsia" w:ascii="宋体" w:hAnsi="宋体" w:cs="宋体"/>
                <w:sz w:val="24"/>
                <w:szCs w:val="24"/>
              </w:rPr>
            </w:pPr>
            <w:r>
              <w:rPr>
                <w:rFonts w:hint="eastAsia" w:ascii="宋体" w:hAnsi="宋体" w:cs="宋体"/>
                <w:sz w:val="24"/>
                <w:szCs w:val="24"/>
              </w:rPr>
              <w:t>安全管理措施</w:t>
            </w:r>
          </w:p>
          <w:p w14:paraId="532CB0E3">
            <w:pPr>
              <w:pStyle w:val="90"/>
              <w:spacing w:before="115" w:line="220" w:lineRule="auto"/>
              <w:ind w:left="22"/>
              <w:rPr>
                <w:rFonts w:hint="eastAsia"/>
              </w:rPr>
            </w:pPr>
            <w:r>
              <w:rPr>
                <w:rFonts w:hint="eastAsia"/>
                <w:lang w:eastAsia="zh-CN"/>
              </w:rPr>
              <w:t>（5分）</w:t>
            </w:r>
          </w:p>
        </w:tc>
        <w:tc>
          <w:tcPr>
            <w:tcW w:w="5719" w:type="dxa"/>
          </w:tcPr>
          <w:p w14:paraId="748AD39F">
            <w:pPr>
              <w:pStyle w:val="90"/>
              <w:spacing w:before="44" w:line="360" w:lineRule="auto"/>
              <w:rPr>
                <w:rFonts w:hint="eastAsia"/>
                <w:lang w:eastAsia="zh-CN"/>
              </w:rPr>
            </w:pPr>
            <w:r>
              <w:rPr>
                <w:rFonts w:hint="eastAsia"/>
                <w:lang w:eastAsia="zh-CN"/>
              </w:rPr>
              <w:t>承诺保证人员安全，施工安全生产保障体系健全，安全管理制度完善，安全管理目标具体，全员安全责任制明确，满足国家规定要求，并具有明确的安全管理措施。根据提供的方案和措施进行打分。</w:t>
            </w:r>
          </w:p>
          <w:p w14:paraId="0CE56ED4">
            <w:pPr>
              <w:pStyle w:val="90"/>
              <w:spacing w:before="44" w:line="360" w:lineRule="auto"/>
              <w:rPr>
                <w:rFonts w:hint="eastAsia"/>
                <w:lang w:eastAsia="zh-CN"/>
              </w:rPr>
            </w:pPr>
            <w:r>
              <w:rPr>
                <w:rFonts w:hint="eastAsia"/>
                <w:lang w:eastAsia="zh-CN"/>
              </w:rPr>
              <w:t>1、安全管理措施完整、详细、合理的得5分；</w:t>
            </w:r>
          </w:p>
          <w:p w14:paraId="58D97C6D">
            <w:pPr>
              <w:pStyle w:val="90"/>
              <w:spacing w:before="44" w:line="360" w:lineRule="auto"/>
              <w:rPr>
                <w:rFonts w:hint="eastAsia"/>
                <w:lang w:eastAsia="zh-CN"/>
              </w:rPr>
            </w:pPr>
            <w:r>
              <w:rPr>
                <w:rFonts w:hint="eastAsia"/>
                <w:lang w:eastAsia="zh-CN"/>
              </w:rPr>
              <w:t>2、安全管理措施基本完整、基本详细、基本合理的得3分；</w:t>
            </w:r>
          </w:p>
          <w:p w14:paraId="2A875164">
            <w:pPr>
              <w:pStyle w:val="90"/>
              <w:spacing w:before="44" w:line="360" w:lineRule="auto"/>
              <w:rPr>
                <w:rFonts w:hint="eastAsia"/>
                <w:lang w:eastAsia="zh-CN"/>
              </w:rPr>
            </w:pPr>
            <w:r>
              <w:rPr>
                <w:rFonts w:hint="eastAsia"/>
                <w:lang w:eastAsia="zh-CN"/>
              </w:rPr>
              <w:t>3、安全管理措施不完整、不详细、不合理的得1分；</w:t>
            </w:r>
          </w:p>
          <w:p w14:paraId="244A4378">
            <w:pPr>
              <w:pStyle w:val="90"/>
              <w:spacing w:before="182" w:line="321" w:lineRule="auto"/>
              <w:ind w:right="108"/>
              <w:rPr>
                <w:rFonts w:hint="eastAsia"/>
                <w:lang w:eastAsia="zh-CN"/>
              </w:rPr>
            </w:pPr>
            <w:r>
              <w:rPr>
                <w:rFonts w:hint="eastAsia"/>
                <w:lang w:eastAsia="zh-CN"/>
              </w:rPr>
              <w:t xml:space="preserve">4、缺项或未提供不得分。 </w:t>
            </w:r>
          </w:p>
        </w:tc>
      </w:tr>
      <w:tr w14:paraId="4958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43" w:type="dxa"/>
            <w:vMerge w:val="continue"/>
            <w:vAlign w:val="center"/>
          </w:tcPr>
          <w:p w14:paraId="54E8B032">
            <w:pPr>
              <w:spacing w:line="440" w:lineRule="exact"/>
              <w:jc w:val="center"/>
              <w:rPr>
                <w:rFonts w:hint="eastAsia" w:ascii="宋体" w:hAnsi="宋体" w:cs="宋体"/>
                <w:sz w:val="24"/>
                <w:szCs w:val="24"/>
              </w:rPr>
            </w:pPr>
          </w:p>
        </w:tc>
        <w:tc>
          <w:tcPr>
            <w:tcW w:w="1301" w:type="dxa"/>
            <w:vMerge w:val="continue"/>
            <w:vAlign w:val="center"/>
          </w:tcPr>
          <w:p w14:paraId="7DBC643F">
            <w:pPr>
              <w:widowControl/>
              <w:spacing w:line="440" w:lineRule="exact"/>
              <w:jc w:val="center"/>
              <w:rPr>
                <w:sz w:val="24"/>
                <w:szCs w:val="24"/>
              </w:rPr>
            </w:pPr>
          </w:p>
        </w:tc>
        <w:tc>
          <w:tcPr>
            <w:tcW w:w="902" w:type="dxa"/>
            <w:vMerge w:val="continue"/>
            <w:vAlign w:val="center"/>
          </w:tcPr>
          <w:p w14:paraId="3F5ECF48">
            <w:pPr>
              <w:widowControl/>
              <w:adjustRightInd w:val="0"/>
              <w:snapToGrid w:val="0"/>
              <w:spacing w:line="440" w:lineRule="exact"/>
              <w:jc w:val="center"/>
              <w:rPr>
                <w:rFonts w:ascii="宋体" w:cs="宋体"/>
                <w:sz w:val="24"/>
                <w:szCs w:val="24"/>
              </w:rPr>
            </w:pPr>
          </w:p>
        </w:tc>
        <w:tc>
          <w:tcPr>
            <w:tcW w:w="1701" w:type="dxa"/>
            <w:vAlign w:val="center"/>
          </w:tcPr>
          <w:p w14:paraId="3342C384">
            <w:pPr>
              <w:pStyle w:val="90"/>
              <w:spacing w:before="35" w:line="220" w:lineRule="auto"/>
              <w:jc w:val="center"/>
              <w:rPr>
                <w:rFonts w:hint="eastAsia"/>
                <w:spacing w:val="-9"/>
                <w:lang w:eastAsia="zh-CN"/>
              </w:rPr>
            </w:pPr>
            <w:r>
              <w:rPr>
                <w:rFonts w:hint="eastAsia"/>
                <w:spacing w:val="-9"/>
                <w:lang w:eastAsia="zh-CN"/>
              </w:rPr>
              <w:t>应急保障措施</w:t>
            </w:r>
          </w:p>
          <w:p w14:paraId="235367EF">
            <w:pPr>
              <w:pStyle w:val="90"/>
              <w:spacing w:before="114" w:line="220" w:lineRule="auto"/>
              <w:ind w:left="22"/>
              <w:rPr>
                <w:rFonts w:hint="eastAsia"/>
              </w:rPr>
            </w:pPr>
            <w:r>
              <w:rPr>
                <w:rFonts w:hint="eastAsia"/>
                <w:spacing w:val="-9"/>
                <w:lang w:eastAsia="zh-CN"/>
              </w:rPr>
              <w:t>（5分）</w:t>
            </w:r>
          </w:p>
        </w:tc>
        <w:tc>
          <w:tcPr>
            <w:tcW w:w="5719" w:type="dxa"/>
          </w:tcPr>
          <w:p w14:paraId="51C71284">
            <w:pPr>
              <w:pStyle w:val="90"/>
              <w:spacing w:before="44" w:line="360" w:lineRule="auto"/>
              <w:rPr>
                <w:rFonts w:hint="eastAsia"/>
                <w:lang w:eastAsia="zh-CN"/>
              </w:rPr>
            </w:pPr>
            <w:r>
              <w:rPr>
                <w:rFonts w:hint="eastAsia"/>
                <w:lang w:eastAsia="zh-CN"/>
              </w:rPr>
              <w:t>根据投标人针对本项目提供的应急保障措施(包括紧急事件应急响应措施、应急响应流程、应急事件处置、风险管理措施等)等方案进行打分。</w:t>
            </w:r>
          </w:p>
          <w:p w14:paraId="5D1E31DC">
            <w:pPr>
              <w:pStyle w:val="90"/>
              <w:spacing w:before="44" w:line="360" w:lineRule="auto"/>
              <w:rPr>
                <w:rFonts w:hint="eastAsia"/>
                <w:lang w:eastAsia="zh-CN"/>
              </w:rPr>
            </w:pPr>
            <w:r>
              <w:rPr>
                <w:rFonts w:hint="eastAsia"/>
                <w:lang w:eastAsia="zh-CN"/>
              </w:rPr>
              <w:t>1、方案内容完整、详细、可操作性强，保障措施科学合理、保障能力强,完全满足需求的,得5分；</w:t>
            </w:r>
          </w:p>
          <w:p w14:paraId="6A6BB1F1">
            <w:pPr>
              <w:pStyle w:val="90"/>
              <w:spacing w:before="44" w:line="360" w:lineRule="auto"/>
              <w:rPr>
                <w:rFonts w:hint="eastAsia"/>
                <w:lang w:eastAsia="zh-CN"/>
              </w:rPr>
            </w:pPr>
            <w:r>
              <w:rPr>
                <w:rFonts w:hint="eastAsia"/>
                <w:lang w:eastAsia="zh-CN"/>
              </w:rPr>
              <w:t>2、方案内容基本完整、基本详细、可操作性一般，保障措施基本合理、保障能力一般,基本满足需求的,得3分；</w:t>
            </w:r>
          </w:p>
          <w:p w14:paraId="40964F68">
            <w:pPr>
              <w:pStyle w:val="90"/>
              <w:spacing w:before="44" w:line="360" w:lineRule="auto"/>
              <w:rPr>
                <w:rFonts w:hint="eastAsia"/>
                <w:lang w:eastAsia="zh-CN"/>
              </w:rPr>
            </w:pPr>
            <w:r>
              <w:rPr>
                <w:rFonts w:hint="eastAsia"/>
                <w:lang w:eastAsia="zh-CN"/>
              </w:rPr>
              <w:t>3、方案内容不完整、不详细、可操作性差，保障措施不合理、保障能力差的,得1分；</w:t>
            </w:r>
          </w:p>
          <w:p w14:paraId="61710EFD">
            <w:pPr>
              <w:pStyle w:val="90"/>
              <w:spacing w:before="182" w:line="321" w:lineRule="auto"/>
              <w:ind w:right="108"/>
              <w:rPr>
                <w:rFonts w:hint="eastAsia"/>
                <w:lang w:eastAsia="zh-CN"/>
              </w:rPr>
            </w:pPr>
            <w:r>
              <w:rPr>
                <w:rFonts w:hint="eastAsia"/>
                <w:lang w:eastAsia="zh-CN"/>
              </w:rPr>
              <w:t>4、缺项或未提供不得分。</w:t>
            </w:r>
          </w:p>
        </w:tc>
      </w:tr>
      <w:tr w14:paraId="0C59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43" w:type="dxa"/>
            <w:vMerge w:val="continue"/>
            <w:vAlign w:val="center"/>
          </w:tcPr>
          <w:p w14:paraId="71C8BF5B">
            <w:pPr>
              <w:spacing w:line="440" w:lineRule="exact"/>
              <w:jc w:val="center"/>
              <w:rPr>
                <w:rFonts w:hint="eastAsia" w:ascii="宋体" w:hAnsi="宋体" w:cs="宋体"/>
                <w:sz w:val="24"/>
                <w:szCs w:val="24"/>
              </w:rPr>
            </w:pPr>
          </w:p>
        </w:tc>
        <w:tc>
          <w:tcPr>
            <w:tcW w:w="1301" w:type="dxa"/>
            <w:vMerge w:val="continue"/>
            <w:vAlign w:val="center"/>
          </w:tcPr>
          <w:p w14:paraId="3D620B95">
            <w:pPr>
              <w:widowControl/>
              <w:spacing w:line="440" w:lineRule="exact"/>
              <w:jc w:val="center"/>
              <w:rPr>
                <w:sz w:val="24"/>
                <w:szCs w:val="24"/>
              </w:rPr>
            </w:pPr>
          </w:p>
        </w:tc>
        <w:tc>
          <w:tcPr>
            <w:tcW w:w="902" w:type="dxa"/>
            <w:vMerge w:val="continue"/>
            <w:vAlign w:val="center"/>
          </w:tcPr>
          <w:p w14:paraId="756320FA">
            <w:pPr>
              <w:widowControl/>
              <w:adjustRightInd w:val="0"/>
              <w:snapToGrid w:val="0"/>
              <w:spacing w:line="440" w:lineRule="exact"/>
              <w:jc w:val="center"/>
              <w:rPr>
                <w:rFonts w:ascii="宋体" w:cs="宋体"/>
                <w:sz w:val="24"/>
                <w:szCs w:val="24"/>
              </w:rPr>
            </w:pPr>
          </w:p>
        </w:tc>
        <w:tc>
          <w:tcPr>
            <w:tcW w:w="1701" w:type="dxa"/>
            <w:vAlign w:val="center"/>
          </w:tcPr>
          <w:p w14:paraId="76F50C74">
            <w:pPr>
              <w:pStyle w:val="90"/>
              <w:spacing w:before="114" w:line="220" w:lineRule="auto"/>
              <w:ind w:left="22"/>
              <w:rPr>
                <w:rFonts w:hint="eastAsia"/>
                <w:color w:val="000000"/>
                <w:kern w:val="0"/>
                <w:lang w:bidi="ar"/>
              </w:rPr>
            </w:pPr>
            <w:r>
              <w:rPr>
                <w:rFonts w:hint="eastAsia"/>
                <w:color w:val="000000"/>
              </w:rPr>
              <w:t>售后服务方案（5分）</w:t>
            </w:r>
          </w:p>
        </w:tc>
        <w:tc>
          <w:tcPr>
            <w:tcW w:w="5719" w:type="dxa"/>
            <w:vAlign w:val="center"/>
          </w:tcPr>
          <w:p w14:paraId="31EBC53D">
            <w:pPr>
              <w:widowControl/>
              <w:jc w:val="left"/>
              <w:textAlignment w:val="center"/>
              <w:rPr>
                <w:rFonts w:hint="eastAsia" w:ascii="宋体" w:hAnsi="宋体" w:cs="宋体"/>
                <w:kern w:val="0"/>
                <w:sz w:val="24"/>
              </w:rPr>
            </w:pPr>
            <w:r>
              <w:rPr>
                <w:rFonts w:hint="eastAsia" w:ascii="宋体" w:hAnsi="宋体" w:cs="宋体"/>
                <w:kern w:val="0"/>
                <w:sz w:val="24"/>
              </w:rPr>
              <w:t>投标人提供售后服务方案（包含但不仅限于售后人员响应时间、服务流程、质保期内外服务）</w:t>
            </w:r>
          </w:p>
          <w:p w14:paraId="3CFA7BD1">
            <w:pPr>
              <w:widowControl/>
              <w:jc w:val="left"/>
              <w:textAlignment w:val="center"/>
              <w:rPr>
                <w:rFonts w:hint="eastAsia" w:ascii="宋体" w:hAnsi="宋体" w:cs="宋体"/>
                <w:kern w:val="0"/>
                <w:sz w:val="24"/>
              </w:rPr>
            </w:pPr>
            <w:r>
              <w:rPr>
                <w:rFonts w:hint="eastAsia" w:ascii="宋体" w:hAnsi="宋体" w:cs="宋体"/>
                <w:kern w:val="0"/>
                <w:sz w:val="24"/>
              </w:rPr>
              <w:t>具体如下:</w:t>
            </w:r>
          </w:p>
          <w:p w14:paraId="706CE5C7">
            <w:pPr>
              <w:widowControl/>
              <w:jc w:val="left"/>
              <w:textAlignment w:val="center"/>
              <w:rPr>
                <w:rFonts w:hint="eastAsia" w:ascii="宋体" w:hAnsi="宋体" w:cs="宋体"/>
                <w:kern w:val="0"/>
                <w:sz w:val="24"/>
              </w:rPr>
            </w:pPr>
            <w:r>
              <w:rPr>
                <w:rFonts w:hint="eastAsia" w:ascii="宋体" w:hAnsi="宋体" w:cs="宋体"/>
                <w:kern w:val="0"/>
                <w:sz w:val="24"/>
              </w:rPr>
              <w:t>1.售后服务方案承诺明确，措施有力、方案详细、计划具体、操作可行，最大限度地满足用户使用需求，得5分；</w:t>
            </w:r>
          </w:p>
          <w:p w14:paraId="1CB7EFDE">
            <w:pPr>
              <w:widowControl/>
              <w:jc w:val="left"/>
              <w:textAlignment w:val="center"/>
              <w:rPr>
                <w:rFonts w:hint="eastAsia" w:ascii="宋体" w:hAnsi="宋体" w:cs="宋体"/>
                <w:kern w:val="0"/>
                <w:sz w:val="24"/>
              </w:rPr>
            </w:pPr>
            <w:r>
              <w:rPr>
                <w:rFonts w:hint="eastAsia" w:ascii="宋体" w:hAnsi="宋体" w:cs="宋体"/>
                <w:kern w:val="0"/>
                <w:sz w:val="24"/>
              </w:rPr>
              <w:t>2.售后服务方案措施较详细、具有服务承诺、方案完整度尚可、计划一般，基本满足用户需求得3分；</w:t>
            </w:r>
          </w:p>
          <w:p w14:paraId="5779D2C4">
            <w:pPr>
              <w:widowControl/>
              <w:jc w:val="left"/>
              <w:textAlignment w:val="center"/>
              <w:rPr>
                <w:rFonts w:hint="eastAsia" w:ascii="宋体" w:hAnsi="宋体" w:cs="宋体"/>
                <w:kern w:val="0"/>
                <w:sz w:val="24"/>
              </w:rPr>
            </w:pPr>
            <w:r>
              <w:rPr>
                <w:rFonts w:hint="eastAsia" w:ascii="宋体" w:hAnsi="宋体" w:cs="宋体"/>
                <w:kern w:val="0"/>
                <w:sz w:val="24"/>
              </w:rPr>
              <w:t>3.售后服务方案不够全面、计划不详细，不能满足用户需求，得1分；</w:t>
            </w:r>
          </w:p>
          <w:p w14:paraId="77978F1A">
            <w:pPr>
              <w:widowControl/>
              <w:jc w:val="left"/>
              <w:textAlignment w:val="center"/>
              <w:rPr>
                <w:rFonts w:hint="eastAsia" w:ascii="宋体" w:hAnsi="宋体" w:cs="宋体"/>
                <w:color w:val="000000"/>
                <w:kern w:val="0"/>
                <w:sz w:val="24"/>
                <w:lang w:bidi="ar"/>
              </w:rPr>
            </w:pPr>
            <w:r>
              <w:rPr>
                <w:rFonts w:hint="eastAsia"/>
                <w:kern w:val="0"/>
              </w:rPr>
              <w:t>4.未提供方案或未提供服务承诺，得0分。</w:t>
            </w:r>
          </w:p>
        </w:tc>
      </w:tr>
      <w:tr w14:paraId="2FE3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43" w:type="dxa"/>
            <w:vMerge w:val="continue"/>
            <w:vAlign w:val="center"/>
          </w:tcPr>
          <w:p w14:paraId="6E0727FB">
            <w:pPr>
              <w:spacing w:line="440" w:lineRule="exact"/>
              <w:jc w:val="center"/>
              <w:rPr>
                <w:rFonts w:hint="eastAsia" w:ascii="宋体" w:hAnsi="宋体" w:cs="宋体"/>
                <w:sz w:val="24"/>
                <w:szCs w:val="24"/>
              </w:rPr>
            </w:pPr>
          </w:p>
        </w:tc>
        <w:tc>
          <w:tcPr>
            <w:tcW w:w="1301" w:type="dxa"/>
            <w:vMerge w:val="continue"/>
            <w:vAlign w:val="center"/>
          </w:tcPr>
          <w:p w14:paraId="2395B355">
            <w:pPr>
              <w:widowControl/>
              <w:spacing w:line="440" w:lineRule="exact"/>
              <w:jc w:val="center"/>
              <w:rPr>
                <w:sz w:val="24"/>
                <w:szCs w:val="24"/>
              </w:rPr>
            </w:pPr>
          </w:p>
        </w:tc>
        <w:tc>
          <w:tcPr>
            <w:tcW w:w="902" w:type="dxa"/>
            <w:vMerge w:val="continue"/>
            <w:vAlign w:val="center"/>
          </w:tcPr>
          <w:p w14:paraId="410D9421">
            <w:pPr>
              <w:widowControl/>
              <w:adjustRightInd w:val="0"/>
              <w:snapToGrid w:val="0"/>
              <w:spacing w:line="440" w:lineRule="exact"/>
              <w:jc w:val="center"/>
              <w:rPr>
                <w:rFonts w:ascii="宋体" w:cs="宋体"/>
                <w:sz w:val="24"/>
                <w:szCs w:val="24"/>
              </w:rPr>
            </w:pPr>
          </w:p>
        </w:tc>
        <w:tc>
          <w:tcPr>
            <w:tcW w:w="1701" w:type="dxa"/>
            <w:vAlign w:val="center"/>
          </w:tcPr>
          <w:p w14:paraId="40F87E12">
            <w:pPr>
              <w:pStyle w:val="90"/>
              <w:spacing w:before="114" w:line="220" w:lineRule="auto"/>
              <w:ind w:left="22"/>
              <w:rPr>
                <w:rFonts w:hint="eastAsia"/>
                <w:color w:val="000000"/>
                <w:kern w:val="0"/>
                <w:lang w:bidi="ar"/>
              </w:rPr>
            </w:pPr>
            <w:r>
              <w:rPr>
                <w:rFonts w:hint="eastAsia"/>
                <w:color w:val="000000"/>
                <w:kern w:val="0"/>
                <w:lang w:bidi="ar"/>
              </w:rPr>
              <w:t>培训方案（5分）</w:t>
            </w:r>
          </w:p>
        </w:tc>
        <w:tc>
          <w:tcPr>
            <w:tcW w:w="5719" w:type="dxa"/>
            <w:vAlign w:val="center"/>
          </w:tcPr>
          <w:p w14:paraId="1809485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投标人提供项目培训方案（包含但不仅限于培训方式、时间、地点、教员、对象以及培训内容明确具体）：</w:t>
            </w:r>
          </w:p>
          <w:p w14:paraId="3728F63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（1）培训方案内容详细、全面，有培训计划且目标明确，培训课程内容丰富全面，能够提供多种培训方式，得 5分；</w:t>
            </w:r>
          </w:p>
          <w:p w14:paraId="397B6AB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（2）培训方案比较详细但针对性不强、具有一定的可操作性得 3 分；</w:t>
            </w:r>
          </w:p>
          <w:p w14:paraId="4EB8A45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（3）培训方案内容不详细、措施安排不明确 得 1 分。</w:t>
            </w:r>
          </w:p>
          <w:p w14:paraId="1C84DB72">
            <w:pPr>
              <w:widowControl/>
              <w:jc w:val="left"/>
              <w:textAlignment w:val="center"/>
              <w:rPr>
                <w:rFonts w:hint="eastAsia" w:ascii="宋体" w:hAnsi="宋体" w:cs="宋体"/>
                <w:color w:val="000000"/>
                <w:kern w:val="0"/>
                <w:sz w:val="24"/>
                <w:lang w:bidi="ar"/>
              </w:rPr>
            </w:pPr>
            <w:r>
              <w:rPr>
                <w:rFonts w:hint="eastAsia"/>
                <w:color w:val="000000"/>
                <w:kern w:val="0"/>
                <w:lang w:bidi="ar"/>
              </w:rPr>
              <w:t>（4）未提供方案，得0分。</w:t>
            </w:r>
          </w:p>
        </w:tc>
      </w:tr>
    </w:tbl>
    <w:p w14:paraId="43334F05">
      <w:pPr>
        <w:spacing w:line="480" w:lineRule="auto"/>
        <w:outlineLvl w:val="2"/>
        <w:rPr>
          <w:rFonts w:hint="eastAsia" w:ascii="宋体" w:hAnsi="宋体" w:cs="宋体"/>
          <w:b/>
          <w:bCs/>
          <w:sz w:val="24"/>
          <w:szCs w:val="24"/>
        </w:rPr>
      </w:pPr>
      <w:r>
        <w:rPr>
          <w:rFonts w:hint="eastAsia" w:ascii="宋体"/>
          <w:b/>
          <w:bCs/>
          <w:sz w:val="24"/>
          <w:szCs w:val="24"/>
        </w:rPr>
        <w:t xml:space="preserve">C. </w:t>
      </w:r>
      <w:r>
        <w:rPr>
          <w:rFonts w:hint="eastAsia" w:ascii="宋体" w:hAnsi="宋体" w:cs="宋体"/>
          <w:b/>
          <w:bCs/>
          <w:sz w:val="24"/>
          <w:szCs w:val="24"/>
        </w:rPr>
        <w:t>综合标得分 5分</w:t>
      </w:r>
    </w:p>
    <w:tbl>
      <w:tblPr>
        <w:tblStyle w:val="28"/>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0"/>
        <w:gridCol w:w="1269"/>
        <w:gridCol w:w="709"/>
        <w:gridCol w:w="7512"/>
      </w:tblGrid>
      <w:tr w14:paraId="6642C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0" w:type="dxa"/>
            <w:vAlign w:val="center"/>
          </w:tcPr>
          <w:p w14:paraId="226B5AAB">
            <w:pPr>
              <w:spacing w:line="440" w:lineRule="exact"/>
              <w:rPr>
                <w:rFonts w:ascii="宋体"/>
                <w:sz w:val="24"/>
                <w:szCs w:val="24"/>
              </w:rPr>
            </w:pPr>
            <w:r>
              <w:rPr>
                <w:rFonts w:hint="eastAsia" w:ascii="宋体" w:hAnsi="宋体" w:cs="宋体"/>
                <w:sz w:val="24"/>
                <w:szCs w:val="24"/>
              </w:rPr>
              <w:t>序号</w:t>
            </w:r>
          </w:p>
        </w:tc>
        <w:tc>
          <w:tcPr>
            <w:tcW w:w="1269" w:type="dxa"/>
            <w:vAlign w:val="center"/>
          </w:tcPr>
          <w:p w14:paraId="0B822286">
            <w:pPr>
              <w:spacing w:line="440" w:lineRule="exact"/>
              <w:jc w:val="center"/>
              <w:rPr>
                <w:rFonts w:ascii="宋体"/>
                <w:sz w:val="24"/>
                <w:szCs w:val="24"/>
              </w:rPr>
            </w:pPr>
            <w:r>
              <w:rPr>
                <w:rFonts w:hint="eastAsia" w:ascii="宋体" w:hAnsi="宋体" w:cs="宋体"/>
                <w:sz w:val="24"/>
                <w:szCs w:val="24"/>
              </w:rPr>
              <w:t>评审因素</w:t>
            </w:r>
          </w:p>
        </w:tc>
        <w:tc>
          <w:tcPr>
            <w:tcW w:w="709" w:type="dxa"/>
            <w:tcBorders>
              <w:right w:val="single" w:color="auto" w:sz="4" w:space="0"/>
            </w:tcBorders>
            <w:vAlign w:val="center"/>
          </w:tcPr>
          <w:p w14:paraId="1A731E56">
            <w:pPr>
              <w:spacing w:line="440" w:lineRule="exact"/>
              <w:jc w:val="center"/>
              <w:rPr>
                <w:rFonts w:ascii="宋体"/>
                <w:sz w:val="24"/>
                <w:szCs w:val="24"/>
              </w:rPr>
            </w:pPr>
            <w:r>
              <w:rPr>
                <w:rFonts w:hint="eastAsia" w:ascii="宋体" w:hAnsi="宋体" w:cs="宋体"/>
                <w:sz w:val="24"/>
                <w:szCs w:val="24"/>
              </w:rPr>
              <w:t>分值</w:t>
            </w:r>
          </w:p>
        </w:tc>
        <w:tc>
          <w:tcPr>
            <w:tcW w:w="7512" w:type="dxa"/>
            <w:tcBorders>
              <w:left w:val="single" w:color="auto" w:sz="4" w:space="0"/>
            </w:tcBorders>
            <w:vAlign w:val="center"/>
          </w:tcPr>
          <w:p w14:paraId="4D5F90CC">
            <w:pPr>
              <w:spacing w:line="440" w:lineRule="exact"/>
              <w:jc w:val="center"/>
              <w:rPr>
                <w:rFonts w:ascii="宋体"/>
                <w:sz w:val="24"/>
                <w:szCs w:val="24"/>
              </w:rPr>
            </w:pPr>
            <w:r>
              <w:rPr>
                <w:rFonts w:hint="eastAsia" w:ascii="宋体" w:hAnsi="宋体" w:cs="宋体"/>
                <w:sz w:val="24"/>
                <w:szCs w:val="24"/>
              </w:rPr>
              <w:t>评分标准说明</w:t>
            </w:r>
          </w:p>
        </w:tc>
      </w:tr>
      <w:tr w14:paraId="14CCDF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30" w:type="dxa"/>
            <w:vAlign w:val="center"/>
          </w:tcPr>
          <w:p w14:paraId="2BE02C0B">
            <w:pPr>
              <w:pStyle w:val="14"/>
              <w:spacing w:line="400" w:lineRule="exact"/>
              <w:jc w:val="center"/>
              <w:rPr>
                <w:rFonts w:hint="eastAsia" w:hAnsi="宋体" w:cs="宋体"/>
                <w:kern w:val="2"/>
                <w:sz w:val="24"/>
                <w:szCs w:val="24"/>
              </w:rPr>
            </w:pPr>
            <w:r>
              <w:rPr>
                <w:rFonts w:hAnsi="宋体" w:cs="宋体"/>
                <w:kern w:val="2"/>
                <w:sz w:val="24"/>
                <w:szCs w:val="24"/>
              </w:rPr>
              <w:t>1</w:t>
            </w:r>
          </w:p>
        </w:tc>
        <w:tc>
          <w:tcPr>
            <w:tcW w:w="1269" w:type="dxa"/>
            <w:vAlign w:val="center"/>
          </w:tcPr>
          <w:p w14:paraId="52066189">
            <w:pPr>
              <w:spacing w:line="400" w:lineRule="exact"/>
              <w:jc w:val="center"/>
              <w:rPr>
                <w:rFonts w:ascii="宋体"/>
                <w:kern w:val="0"/>
                <w:sz w:val="24"/>
                <w:szCs w:val="24"/>
              </w:rPr>
            </w:pPr>
            <w:r>
              <w:rPr>
                <w:rFonts w:hint="eastAsia" w:ascii="宋体" w:hAnsi="宋体" w:cs="宋体"/>
                <w:sz w:val="24"/>
                <w:szCs w:val="24"/>
              </w:rPr>
              <w:t>服务承诺</w:t>
            </w:r>
          </w:p>
        </w:tc>
        <w:tc>
          <w:tcPr>
            <w:tcW w:w="709" w:type="dxa"/>
            <w:tcBorders>
              <w:right w:val="single" w:color="auto" w:sz="4" w:space="0"/>
            </w:tcBorders>
            <w:vAlign w:val="center"/>
          </w:tcPr>
          <w:p w14:paraId="59D89FCE">
            <w:pPr>
              <w:spacing w:line="400" w:lineRule="exact"/>
              <w:jc w:val="center"/>
              <w:rPr>
                <w:rFonts w:ascii="宋体"/>
                <w:kern w:val="0"/>
                <w:sz w:val="24"/>
                <w:szCs w:val="24"/>
              </w:rPr>
            </w:pPr>
            <w:r>
              <w:rPr>
                <w:rFonts w:ascii="宋体" w:hAnsi="宋体" w:cs="宋体"/>
                <w:sz w:val="24"/>
                <w:szCs w:val="24"/>
              </w:rPr>
              <w:t>5</w:t>
            </w:r>
          </w:p>
        </w:tc>
        <w:tc>
          <w:tcPr>
            <w:tcW w:w="7512" w:type="dxa"/>
            <w:tcBorders>
              <w:left w:val="single" w:color="auto" w:sz="4" w:space="0"/>
            </w:tcBorders>
            <w:vAlign w:val="center"/>
          </w:tcPr>
          <w:p w14:paraId="66779646">
            <w:pPr>
              <w:pStyle w:val="14"/>
              <w:spacing w:line="400" w:lineRule="exact"/>
              <w:ind w:firstLine="480" w:firstLineChars="200"/>
              <w:jc w:val="left"/>
              <w:rPr>
                <w:rFonts w:hint="eastAsia" w:hAnsi="宋体"/>
                <w:kern w:val="2"/>
                <w:sz w:val="24"/>
                <w:szCs w:val="24"/>
              </w:rPr>
            </w:pPr>
            <w:r>
              <w:rPr>
                <w:rFonts w:hAnsi="宋体" w:cs="宋体"/>
                <w:sz w:val="24"/>
                <w:szCs w:val="24"/>
              </w:rPr>
              <w:t>供应商有专人负责</w:t>
            </w:r>
            <w:r>
              <w:rPr>
                <w:rFonts w:hint="eastAsia" w:hAnsi="宋体" w:cs="宋体"/>
                <w:sz w:val="24"/>
                <w:szCs w:val="24"/>
              </w:rPr>
              <w:t>全过程</w:t>
            </w:r>
            <w:r>
              <w:rPr>
                <w:rFonts w:hAnsi="宋体" w:cs="宋体"/>
                <w:sz w:val="24"/>
                <w:szCs w:val="24"/>
              </w:rPr>
              <w:t>服务，对</w:t>
            </w:r>
            <w:r>
              <w:rPr>
                <w:rFonts w:hint="eastAsia" w:hAnsi="宋体" w:cs="宋体"/>
                <w:sz w:val="24"/>
                <w:szCs w:val="24"/>
              </w:rPr>
              <w:t>供货期</w:t>
            </w:r>
            <w:r>
              <w:rPr>
                <w:rFonts w:hAnsi="宋体" w:cs="宋体"/>
                <w:sz w:val="24"/>
                <w:szCs w:val="24"/>
              </w:rPr>
              <w:t>间承诺成果保密、后期跟踪服务进行综合评定，</w:t>
            </w:r>
            <w:r>
              <w:rPr>
                <w:rFonts w:hint="eastAsia" w:hAnsi="宋体" w:cs="宋体"/>
                <w:kern w:val="2"/>
                <w:sz w:val="24"/>
                <w:szCs w:val="24"/>
              </w:rPr>
              <w:t>在</w:t>
            </w:r>
            <w:r>
              <w:rPr>
                <w:rFonts w:hAnsi="宋体" w:cs="宋体"/>
                <w:kern w:val="2"/>
                <w:sz w:val="24"/>
                <w:szCs w:val="24"/>
              </w:rPr>
              <w:t>0-5</w:t>
            </w:r>
            <w:r>
              <w:rPr>
                <w:rFonts w:hint="eastAsia" w:hAnsi="宋体" w:cs="宋体"/>
                <w:kern w:val="2"/>
                <w:sz w:val="24"/>
                <w:szCs w:val="24"/>
              </w:rPr>
              <w:t>分之间</w:t>
            </w:r>
            <w:r>
              <w:rPr>
                <w:rFonts w:hAnsi="宋体" w:cs="宋体"/>
                <w:sz w:val="24"/>
                <w:szCs w:val="24"/>
              </w:rPr>
              <w:t>进行酌情评分</w:t>
            </w:r>
            <w:r>
              <w:rPr>
                <w:rFonts w:hint="eastAsia" w:hAnsi="宋体" w:cs="宋体"/>
                <w:sz w:val="24"/>
                <w:szCs w:val="24"/>
              </w:rPr>
              <w:t>。</w:t>
            </w:r>
          </w:p>
        </w:tc>
      </w:tr>
      <w:tr w14:paraId="43248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7" w:hRule="atLeast"/>
          <w:jc w:val="center"/>
        </w:trPr>
        <w:tc>
          <w:tcPr>
            <w:tcW w:w="10220" w:type="dxa"/>
            <w:gridSpan w:val="4"/>
            <w:tcBorders>
              <w:bottom w:val="single" w:color="auto" w:sz="4" w:space="0"/>
            </w:tcBorders>
            <w:vAlign w:val="center"/>
          </w:tcPr>
          <w:p w14:paraId="12AB37E5">
            <w:pPr>
              <w:adjustRightInd w:val="0"/>
              <w:spacing w:line="400" w:lineRule="exact"/>
              <w:ind w:firstLine="482" w:firstLineChars="200"/>
              <w:jc w:val="left"/>
              <w:textAlignment w:val="baseline"/>
              <w:rPr>
                <w:rFonts w:ascii="宋体"/>
                <w:b/>
                <w:bCs/>
                <w:sz w:val="24"/>
                <w:szCs w:val="24"/>
              </w:rPr>
            </w:pPr>
            <w:r>
              <w:rPr>
                <w:rFonts w:hint="eastAsia" w:ascii="宋体" w:hAnsi="宋体" w:cs="宋体"/>
                <w:b/>
                <w:bCs/>
                <w:sz w:val="24"/>
                <w:szCs w:val="24"/>
              </w:rPr>
              <w:t>注：（1）技术标得分</w:t>
            </w:r>
            <w:r>
              <w:rPr>
                <w:rFonts w:ascii="宋体" w:hAnsi="宋体" w:cs="宋体"/>
                <w:b/>
                <w:bCs/>
                <w:sz w:val="24"/>
                <w:szCs w:val="24"/>
              </w:rPr>
              <w:t>=</w:t>
            </w:r>
            <w:r>
              <w:rPr>
                <w:rFonts w:hint="eastAsia" w:ascii="宋体" w:hAnsi="宋体" w:cs="宋体"/>
                <w:b/>
                <w:bCs/>
                <w:sz w:val="24"/>
                <w:szCs w:val="24"/>
              </w:rPr>
              <w:t>技术专家得分汇总后的算术平均值；</w:t>
            </w:r>
          </w:p>
          <w:p w14:paraId="4D8C05F6">
            <w:pPr>
              <w:adjustRightInd w:val="0"/>
              <w:spacing w:line="400" w:lineRule="exact"/>
              <w:ind w:firstLine="482" w:firstLineChars="200"/>
              <w:jc w:val="left"/>
              <w:textAlignment w:val="baseline"/>
              <w:rPr>
                <w:rFonts w:ascii="宋体"/>
                <w:b/>
                <w:bCs/>
                <w:sz w:val="24"/>
                <w:szCs w:val="24"/>
              </w:rPr>
            </w:pPr>
            <w:r>
              <w:rPr>
                <w:rFonts w:hint="eastAsia" w:ascii="宋体" w:hAnsi="宋体" w:cs="宋体"/>
                <w:b/>
                <w:bCs/>
                <w:sz w:val="24"/>
                <w:szCs w:val="24"/>
              </w:rPr>
              <w:t>商务标得分</w:t>
            </w:r>
            <w:r>
              <w:rPr>
                <w:rFonts w:ascii="宋体" w:hAnsi="宋体" w:cs="宋体"/>
                <w:b/>
                <w:bCs/>
                <w:sz w:val="24"/>
                <w:szCs w:val="24"/>
              </w:rPr>
              <w:t>=</w:t>
            </w:r>
            <w:r>
              <w:rPr>
                <w:rFonts w:hint="eastAsia" w:ascii="宋体" w:hAnsi="宋体" w:cs="宋体"/>
                <w:b/>
                <w:bCs/>
                <w:sz w:val="24"/>
                <w:szCs w:val="24"/>
              </w:rPr>
              <w:t>商务专家得分汇总后的算术平均值；</w:t>
            </w:r>
          </w:p>
          <w:p w14:paraId="0FCD89EF">
            <w:pPr>
              <w:adjustRightInd w:val="0"/>
              <w:spacing w:line="400" w:lineRule="exact"/>
              <w:ind w:firstLine="482" w:firstLineChars="200"/>
              <w:jc w:val="left"/>
              <w:textAlignment w:val="baseline"/>
              <w:rPr>
                <w:rFonts w:ascii="宋体"/>
                <w:b/>
                <w:bCs/>
                <w:sz w:val="24"/>
                <w:szCs w:val="24"/>
              </w:rPr>
            </w:pPr>
            <w:r>
              <w:rPr>
                <w:rFonts w:hint="eastAsia" w:ascii="宋体" w:hAnsi="宋体" w:cs="宋体"/>
                <w:b/>
                <w:bCs/>
                <w:sz w:val="24"/>
                <w:szCs w:val="24"/>
              </w:rPr>
              <w:t>综合标得分</w:t>
            </w:r>
            <w:r>
              <w:rPr>
                <w:rFonts w:ascii="宋体" w:hAnsi="宋体" w:cs="宋体"/>
                <w:b/>
                <w:bCs/>
                <w:sz w:val="24"/>
                <w:szCs w:val="24"/>
              </w:rPr>
              <w:t>=</w:t>
            </w:r>
            <w:r>
              <w:rPr>
                <w:rFonts w:hint="eastAsia" w:ascii="宋体" w:hAnsi="宋体" w:cs="宋体"/>
                <w:b/>
                <w:bCs/>
                <w:sz w:val="24"/>
                <w:szCs w:val="24"/>
              </w:rPr>
              <w:t>采购人代表对供应商综合标的评审得分；</w:t>
            </w:r>
          </w:p>
          <w:p w14:paraId="5B3147F3">
            <w:pPr>
              <w:adjustRightInd w:val="0"/>
              <w:spacing w:line="400" w:lineRule="exact"/>
              <w:ind w:firstLine="482" w:firstLineChars="200"/>
              <w:jc w:val="left"/>
              <w:textAlignment w:val="baseline"/>
              <w:rPr>
                <w:rFonts w:ascii="宋体"/>
                <w:b/>
                <w:bCs/>
                <w:sz w:val="24"/>
                <w:szCs w:val="24"/>
              </w:rPr>
            </w:pPr>
            <w:r>
              <w:rPr>
                <w:rFonts w:hint="eastAsia" w:ascii="宋体" w:hAnsi="宋体" w:cs="宋体"/>
                <w:b/>
                <w:bCs/>
                <w:sz w:val="24"/>
                <w:szCs w:val="24"/>
              </w:rPr>
              <w:t>供应商的最终得分</w:t>
            </w:r>
            <w:r>
              <w:rPr>
                <w:rFonts w:ascii="宋体" w:hAnsi="宋体" w:cs="宋体"/>
                <w:b/>
                <w:bCs/>
                <w:sz w:val="24"/>
                <w:szCs w:val="24"/>
              </w:rPr>
              <w:t>=</w:t>
            </w:r>
            <w:r>
              <w:rPr>
                <w:rFonts w:hint="eastAsia" w:ascii="宋体" w:hAnsi="宋体" w:cs="宋体"/>
                <w:b/>
                <w:bCs/>
                <w:sz w:val="24"/>
                <w:szCs w:val="24"/>
              </w:rPr>
              <w:t>技术标得分</w:t>
            </w:r>
            <w:r>
              <w:rPr>
                <w:rFonts w:ascii="宋体" w:hAnsi="宋体" w:cs="宋体"/>
                <w:b/>
                <w:bCs/>
                <w:sz w:val="24"/>
                <w:szCs w:val="24"/>
              </w:rPr>
              <w:t>+</w:t>
            </w:r>
            <w:r>
              <w:rPr>
                <w:rFonts w:hint="eastAsia" w:ascii="宋体" w:hAnsi="宋体" w:cs="宋体"/>
                <w:b/>
                <w:bCs/>
                <w:sz w:val="24"/>
                <w:szCs w:val="24"/>
              </w:rPr>
              <w:t>商务标得分</w:t>
            </w:r>
            <w:r>
              <w:rPr>
                <w:rFonts w:ascii="宋体" w:hAnsi="宋体" w:cs="宋体"/>
                <w:b/>
                <w:bCs/>
                <w:sz w:val="24"/>
                <w:szCs w:val="24"/>
              </w:rPr>
              <w:t>+</w:t>
            </w:r>
            <w:r>
              <w:rPr>
                <w:rFonts w:hint="eastAsia" w:ascii="宋体" w:hAnsi="宋体" w:cs="宋体"/>
                <w:b/>
                <w:bCs/>
                <w:sz w:val="24"/>
                <w:szCs w:val="24"/>
              </w:rPr>
              <w:t>综合标得分。</w:t>
            </w:r>
          </w:p>
          <w:p w14:paraId="0CA222FA">
            <w:pPr>
              <w:adjustRightInd w:val="0"/>
              <w:spacing w:line="400" w:lineRule="exact"/>
              <w:ind w:firstLine="482" w:firstLineChars="200"/>
              <w:jc w:val="left"/>
              <w:textAlignment w:val="baseline"/>
              <w:rPr>
                <w:rFonts w:hint="eastAsia" w:hAnsi="宋体" w:cs="宋体"/>
                <w:b/>
                <w:bCs/>
                <w:sz w:val="24"/>
                <w:szCs w:val="24"/>
              </w:rPr>
            </w:pPr>
            <w:r>
              <w:rPr>
                <w:rFonts w:hint="eastAsia" w:ascii="宋体" w:hAnsi="宋体" w:cs="宋体"/>
                <w:b/>
                <w:bCs/>
                <w:sz w:val="24"/>
                <w:szCs w:val="24"/>
              </w:rPr>
              <w:t>（2）评标专家按照专业类别仅对自己专业范围内容独立客观评审，不再对自己专业外的内容评审打分。采购人代表对供应商的综合标进行评审，采购人代表不参与其他部分的评审工作。</w:t>
            </w:r>
          </w:p>
        </w:tc>
      </w:tr>
    </w:tbl>
    <w:p w14:paraId="6A812E74"/>
    <w:p w14:paraId="78DFFCEB">
      <w:pPr>
        <w:rPr>
          <w:rFonts w:ascii="宋体"/>
          <w:b/>
          <w:bCs/>
          <w:sz w:val="24"/>
          <w:szCs w:val="24"/>
        </w:rPr>
      </w:pPr>
      <w:bookmarkStart w:id="342" w:name="_Toc304463248"/>
      <w:bookmarkEnd w:id="342"/>
      <w:r>
        <w:br w:type="page"/>
      </w:r>
      <w:r>
        <w:rPr>
          <w:rFonts w:hint="eastAsia" w:ascii="宋体" w:hAnsi="宋体" w:cs="宋体"/>
          <w:b/>
          <w:bCs/>
          <w:sz w:val="24"/>
          <w:szCs w:val="24"/>
        </w:rPr>
        <w:t>附：落实政府采购政策价格调整部分</w:t>
      </w:r>
    </w:p>
    <w:tbl>
      <w:tblPr>
        <w:tblStyle w:val="28"/>
        <w:tblpPr w:leftFromText="180" w:rightFromText="180" w:vertAnchor="text" w:horzAnchor="page" w:tblpX="1138" w:tblpY="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134"/>
        <w:gridCol w:w="2834"/>
        <w:gridCol w:w="3148"/>
      </w:tblGrid>
      <w:tr w14:paraId="384F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801" w:type="dxa"/>
            <w:noWrap/>
            <w:vAlign w:val="center"/>
          </w:tcPr>
          <w:p w14:paraId="43F6A8F9">
            <w:pPr>
              <w:widowControl/>
              <w:jc w:val="center"/>
              <w:rPr>
                <w:rFonts w:hint="eastAsia" w:ascii="宋体" w:hAnsi="宋体" w:cs="宋体"/>
                <w:b/>
                <w:sz w:val="24"/>
                <w:szCs w:val="24"/>
                <w:lang w:val="en-GB"/>
              </w:rPr>
            </w:pPr>
            <w:r>
              <w:rPr>
                <w:rFonts w:hint="eastAsia" w:ascii="宋体" w:hAnsi="宋体" w:cs="宋体"/>
                <w:b/>
                <w:sz w:val="24"/>
                <w:szCs w:val="24"/>
                <w:lang w:val="en-GB"/>
              </w:rPr>
              <w:t>序号</w:t>
            </w:r>
          </w:p>
        </w:tc>
        <w:tc>
          <w:tcPr>
            <w:tcW w:w="3134" w:type="dxa"/>
            <w:noWrap/>
            <w:vAlign w:val="center"/>
          </w:tcPr>
          <w:p w14:paraId="68BD3DFC">
            <w:pPr>
              <w:widowControl/>
              <w:jc w:val="center"/>
              <w:rPr>
                <w:rFonts w:hint="eastAsia" w:ascii="宋体" w:hAnsi="宋体" w:cs="宋体"/>
                <w:b/>
                <w:sz w:val="24"/>
                <w:szCs w:val="24"/>
                <w:lang w:val="en-GB"/>
              </w:rPr>
            </w:pPr>
            <w:r>
              <w:rPr>
                <w:rFonts w:hint="eastAsia" w:ascii="宋体" w:hAnsi="宋体" w:cs="宋体"/>
                <w:b/>
                <w:sz w:val="24"/>
                <w:szCs w:val="24"/>
                <w:lang w:val="en-GB"/>
              </w:rPr>
              <w:t>情形</w:t>
            </w:r>
          </w:p>
        </w:tc>
        <w:tc>
          <w:tcPr>
            <w:tcW w:w="2834" w:type="dxa"/>
            <w:noWrap/>
            <w:vAlign w:val="center"/>
          </w:tcPr>
          <w:p w14:paraId="3EFFCB1B">
            <w:pPr>
              <w:widowControl/>
              <w:jc w:val="center"/>
              <w:rPr>
                <w:rFonts w:hint="eastAsia" w:ascii="宋体" w:hAnsi="宋体" w:cs="宋体"/>
                <w:b/>
                <w:sz w:val="24"/>
                <w:szCs w:val="24"/>
                <w:lang w:val="en-GB"/>
              </w:rPr>
            </w:pPr>
            <w:r>
              <w:rPr>
                <w:rFonts w:hint="eastAsia" w:ascii="宋体" w:hAnsi="宋体" w:cs="宋体"/>
                <w:b/>
                <w:sz w:val="24"/>
                <w:szCs w:val="24"/>
              </w:rPr>
              <w:t>价格扣除</w:t>
            </w:r>
            <w:r>
              <w:rPr>
                <w:rFonts w:hint="eastAsia" w:ascii="宋体" w:hAnsi="宋体" w:cs="宋体"/>
                <w:b/>
                <w:sz w:val="24"/>
                <w:szCs w:val="24"/>
                <w:lang w:val="en-GB"/>
              </w:rPr>
              <w:t>比例</w:t>
            </w:r>
          </w:p>
        </w:tc>
        <w:tc>
          <w:tcPr>
            <w:tcW w:w="3148" w:type="dxa"/>
            <w:noWrap/>
            <w:vAlign w:val="center"/>
          </w:tcPr>
          <w:p w14:paraId="761FAD7C">
            <w:pPr>
              <w:widowControl/>
              <w:jc w:val="center"/>
              <w:rPr>
                <w:rFonts w:hint="eastAsia" w:ascii="宋体" w:hAnsi="宋体" w:cs="宋体"/>
                <w:b/>
                <w:sz w:val="24"/>
                <w:szCs w:val="24"/>
                <w:lang w:val="en-GB"/>
              </w:rPr>
            </w:pPr>
            <w:r>
              <w:rPr>
                <w:rFonts w:hint="eastAsia" w:ascii="宋体" w:hAnsi="宋体" w:cs="宋体"/>
                <w:b/>
                <w:sz w:val="24"/>
                <w:szCs w:val="24"/>
                <w:lang w:val="en-GB"/>
              </w:rPr>
              <w:t>计算公式</w:t>
            </w:r>
          </w:p>
        </w:tc>
      </w:tr>
      <w:tr w14:paraId="7D6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01" w:type="dxa"/>
            <w:noWrap/>
            <w:vAlign w:val="center"/>
          </w:tcPr>
          <w:p w14:paraId="5B8A304F">
            <w:pPr>
              <w:widowControl/>
              <w:jc w:val="center"/>
              <w:rPr>
                <w:rFonts w:hint="eastAsia" w:ascii="宋体" w:hAnsi="宋体" w:cs="宋体"/>
                <w:bCs/>
                <w:sz w:val="24"/>
                <w:szCs w:val="24"/>
                <w:lang w:val="en-GB"/>
              </w:rPr>
            </w:pPr>
            <w:r>
              <w:rPr>
                <w:rFonts w:hint="eastAsia" w:ascii="宋体" w:hAnsi="宋体" w:cs="宋体"/>
                <w:bCs/>
                <w:sz w:val="24"/>
                <w:szCs w:val="24"/>
                <w:lang w:val="en-GB"/>
              </w:rPr>
              <w:t>1</w:t>
            </w:r>
          </w:p>
        </w:tc>
        <w:tc>
          <w:tcPr>
            <w:tcW w:w="3134" w:type="dxa"/>
            <w:noWrap/>
            <w:vAlign w:val="center"/>
          </w:tcPr>
          <w:p w14:paraId="5F6C1AC4">
            <w:pPr>
              <w:widowControl/>
              <w:jc w:val="center"/>
              <w:rPr>
                <w:rFonts w:hint="eastAsia" w:ascii="宋体" w:hAnsi="宋体" w:cs="宋体"/>
                <w:bCs/>
                <w:sz w:val="24"/>
                <w:szCs w:val="24"/>
                <w:lang w:val="en-GB"/>
              </w:rPr>
            </w:pPr>
            <w:r>
              <w:rPr>
                <w:rFonts w:hint="eastAsia" w:ascii="宋体" w:hAnsi="宋体" w:cs="宋体"/>
                <w:bCs/>
                <w:sz w:val="24"/>
                <w:szCs w:val="24"/>
                <w:lang w:val="en-GB"/>
              </w:rPr>
              <w:t>非联合体供应商</w:t>
            </w:r>
          </w:p>
        </w:tc>
        <w:tc>
          <w:tcPr>
            <w:tcW w:w="2834" w:type="dxa"/>
            <w:noWrap/>
            <w:vAlign w:val="center"/>
          </w:tcPr>
          <w:p w14:paraId="514BC9C3">
            <w:pPr>
              <w:widowControl/>
              <w:jc w:val="center"/>
              <w:rPr>
                <w:rFonts w:hint="eastAsia" w:ascii="宋体" w:hAnsi="宋体" w:cs="宋体"/>
                <w:sz w:val="24"/>
                <w:szCs w:val="24"/>
              </w:rPr>
            </w:pPr>
            <w:r>
              <w:rPr>
                <w:rFonts w:hint="eastAsia" w:ascii="宋体" w:hAnsi="宋体" w:cs="宋体"/>
                <w:sz w:val="24"/>
                <w:szCs w:val="24"/>
              </w:rPr>
              <w:t>对小型和微型企业产品的价格扣除</w:t>
            </w:r>
            <w:r>
              <w:rPr>
                <w:rFonts w:hint="eastAsia" w:ascii="宋体" w:hAnsi="宋体" w:cs="宋体"/>
                <w:sz w:val="24"/>
                <w:szCs w:val="24"/>
                <w:u w:val="single"/>
              </w:rPr>
              <w:t>10</w:t>
            </w:r>
            <w:r>
              <w:rPr>
                <w:rFonts w:hint="eastAsia" w:ascii="宋体" w:hAnsi="宋体" w:cs="宋体"/>
                <w:sz w:val="24"/>
                <w:szCs w:val="24"/>
              </w:rPr>
              <w:t>%</w:t>
            </w:r>
          </w:p>
          <w:p w14:paraId="638821A4">
            <w:pPr>
              <w:widowControl/>
              <w:jc w:val="center"/>
              <w:rPr>
                <w:rFonts w:hint="eastAsia" w:ascii="宋体" w:hAnsi="宋体" w:cs="宋体"/>
                <w:b/>
                <w:sz w:val="24"/>
                <w:szCs w:val="24"/>
              </w:rPr>
            </w:pPr>
            <w:r>
              <w:rPr>
                <w:rFonts w:hint="eastAsia" w:ascii="宋体" w:hAnsi="宋体" w:cs="宋体"/>
                <w:sz w:val="24"/>
                <w:szCs w:val="24"/>
              </w:rPr>
              <w:t>对中型企业产品的价格扣除4%</w:t>
            </w:r>
          </w:p>
        </w:tc>
        <w:tc>
          <w:tcPr>
            <w:tcW w:w="3148" w:type="dxa"/>
            <w:noWrap/>
            <w:vAlign w:val="center"/>
          </w:tcPr>
          <w:p w14:paraId="787F8EAE">
            <w:pPr>
              <w:widowControl/>
              <w:jc w:val="center"/>
              <w:rPr>
                <w:rFonts w:hint="eastAsia" w:ascii="宋体" w:hAnsi="宋体" w:cs="宋体"/>
                <w:sz w:val="24"/>
                <w:szCs w:val="24"/>
                <w:lang w:val="en-GB"/>
              </w:rPr>
            </w:pPr>
            <w:r>
              <w:rPr>
                <w:rFonts w:hint="eastAsia" w:ascii="宋体" w:hAnsi="宋体" w:cs="宋体"/>
                <w:sz w:val="24"/>
                <w:szCs w:val="24"/>
                <w:lang w:val="en-GB"/>
              </w:rPr>
              <w:t>评标价格＝投标报价—中小微</w:t>
            </w:r>
            <w:r>
              <w:rPr>
                <w:rFonts w:hint="eastAsia" w:ascii="宋体" w:hAnsi="宋体" w:cs="宋体"/>
                <w:sz w:val="24"/>
                <w:szCs w:val="24"/>
              </w:rPr>
              <w:t>型企业产品的价格</w:t>
            </w:r>
            <w:r>
              <w:rPr>
                <w:rFonts w:hint="eastAsia" w:ascii="宋体" w:hAnsi="宋体" w:cs="宋体"/>
                <w:sz w:val="24"/>
                <w:szCs w:val="24"/>
                <w:lang w:val="en-GB"/>
              </w:rPr>
              <w:t>×10%（或</w:t>
            </w:r>
            <w:r>
              <w:rPr>
                <w:rFonts w:hint="eastAsia" w:ascii="宋体" w:hAnsi="宋体" w:cs="宋体"/>
                <w:sz w:val="24"/>
                <w:szCs w:val="24"/>
              </w:rPr>
              <w:t>4</w:t>
            </w:r>
            <w:r>
              <w:rPr>
                <w:rFonts w:hint="eastAsia" w:ascii="宋体" w:hAnsi="宋体" w:cs="宋体"/>
                <w:sz w:val="24"/>
                <w:szCs w:val="24"/>
                <w:lang w:val="en-GB"/>
              </w:rPr>
              <w:t>%）</w:t>
            </w:r>
          </w:p>
          <w:p w14:paraId="50919DF3">
            <w:pPr>
              <w:widowControl/>
              <w:jc w:val="center"/>
              <w:rPr>
                <w:rFonts w:hint="eastAsia" w:ascii="宋体" w:hAnsi="宋体" w:cs="宋体"/>
                <w:b/>
                <w:sz w:val="24"/>
                <w:szCs w:val="24"/>
                <w:lang w:val="en-GB"/>
              </w:rPr>
            </w:pPr>
          </w:p>
        </w:tc>
      </w:tr>
      <w:tr w14:paraId="53D8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01" w:type="dxa"/>
            <w:noWrap/>
            <w:vAlign w:val="center"/>
          </w:tcPr>
          <w:p w14:paraId="324C4992">
            <w:pPr>
              <w:widowControl/>
              <w:jc w:val="center"/>
              <w:rPr>
                <w:rFonts w:hint="eastAsia" w:ascii="宋体" w:hAnsi="宋体" w:cs="宋体"/>
                <w:bCs/>
                <w:sz w:val="24"/>
                <w:szCs w:val="24"/>
                <w:highlight w:val="yellow"/>
                <w:lang w:val="en-GB"/>
              </w:rPr>
            </w:pPr>
            <w:r>
              <w:rPr>
                <w:rFonts w:hint="eastAsia" w:ascii="宋体" w:hAnsi="宋体" w:cs="宋体"/>
                <w:bCs/>
                <w:sz w:val="24"/>
                <w:szCs w:val="24"/>
                <w:highlight w:val="yellow"/>
              </w:rPr>
              <w:t>2</w:t>
            </w:r>
          </w:p>
        </w:tc>
        <w:tc>
          <w:tcPr>
            <w:tcW w:w="3134" w:type="dxa"/>
            <w:noWrap/>
            <w:vAlign w:val="center"/>
          </w:tcPr>
          <w:p w14:paraId="33AF3F94">
            <w:pPr>
              <w:widowControl/>
              <w:jc w:val="center"/>
              <w:rPr>
                <w:rFonts w:hint="eastAsia" w:ascii="宋体" w:hAnsi="宋体" w:cs="宋体"/>
                <w:bCs/>
                <w:sz w:val="24"/>
                <w:szCs w:val="24"/>
                <w:highlight w:val="yellow"/>
                <w:lang w:val="en-GB"/>
              </w:rPr>
            </w:pPr>
            <w:r>
              <w:rPr>
                <w:rFonts w:ascii="宋体" w:hAnsi="宋体" w:cs="宋体"/>
                <w:bCs/>
                <w:sz w:val="24"/>
                <w:szCs w:val="24"/>
                <w:highlight w:val="yellow"/>
              </w:rPr>
              <w:t>联合体一方为小型、微型企 业或允许大中型企业向小微 企业分包的项目</w:t>
            </w:r>
          </w:p>
        </w:tc>
        <w:tc>
          <w:tcPr>
            <w:tcW w:w="2834" w:type="dxa"/>
            <w:noWrap/>
            <w:vAlign w:val="center"/>
          </w:tcPr>
          <w:p w14:paraId="6526ECED">
            <w:pPr>
              <w:widowControl/>
              <w:jc w:val="center"/>
              <w:rPr>
                <w:rFonts w:hint="eastAsia" w:ascii="宋体" w:hAnsi="宋体" w:cs="宋体"/>
                <w:sz w:val="24"/>
                <w:szCs w:val="24"/>
                <w:highlight w:val="yellow"/>
                <w:lang w:val="en-GB"/>
              </w:rPr>
            </w:pPr>
            <w:r>
              <w:rPr>
                <w:rFonts w:hint="eastAsia" w:ascii="宋体" w:hAnsi="宋体" w:cs="宋体"/>
                <w:sz w:val="24"/>
                <w:szCs w:val="24"/>
                <w:highlight w:val="yellow"/>
                <w:lang w:val="en-GB"/>
              </w:rPr>
              <w:t>对联合体总金额扣除</w:t>
            </w:r>
          </w:p>
          <w:p w14:paraId="215C29F9">
            <w:pPr>
              <w:widowControl/>
              <w:jc w:val="center"/>
              <w:rPr>
                <w:rFonts w:hint="eastAsia" w:ascii="宋体" w:hAnsi="宋体" w:cs="宋体"/>
                <w:b/>
                <w:sz w:val="24"/>
                <w:szCs w:val="24"/>
                <w:highlight w:val="yellow"/>
                <w:lang w:val="en-GB"/>
              </w:rPr>
            </w:pPr>
            <w:r>
              <w:rPr>
                <w:rFonts w:hint="eastAsia" w:ascii="宋体" w:hAnsi="宋体" w:cs="宋体"/>
                <w:sz w:val="24"/>
                <w:szCs w:val="24"/>
                <w:highlight w:val="yellow"/>
                <w:u w:val="single"/>
              </w:rPr>
              <w:t xml:space="preserve"> 4 </w:t>
            </w:r>
            <w:r>
              <w:rPr>
                <w:rFonts w:hint="eastAsia" w:ascii="宋体" w:hAnsi="宋体" w:cs="宋体"/>
                <w:sz w:val="24"/>
                <w:szCs w:val="24"/>
                <w:highlight w:val="yellow"/>
              </w:rPr>
              <w:t>%</w:t>
            </w:r>
          </w:p>
        </w:tc>
        <w:tc>
          <w:tcPr>
            <w:tcW w:w="3148" w:type="dxa"/>
            <w:noWrap/>
            <w:vAlign w:val="center"/>
          </w:tcPr>
          <w:p w14:paraId="67C3022E">
            <w:pPr>
              <w:widowControl/>
              <w:jc w:val="center"/>
              <w:rPr>
                <w:rFonts w:hint="eastAsia" w:ascii="宋体" w:hAnsi="宋体" w:cs="宋体"/>
                <w:sz w:val="24"/>
                <w:szCs w:val="24"/>
                <w:highlight w:val="yellow"/>
                <w:u w:val="single"/>
              </w:rPr>
            </w:pPr>
            <w:r>
              <w:rPr>
                <w:rFonts w:hint="eastAsia" w:ascii="宋体" w:hAnsi="宋体" w:cs="宋体"/>
                <w:sz w:val="24"/>
                <w:szCs w:val="24"/>
                <w:highlight w:val="yellow"/>
                <w:lang w:val="en-GB"/>
              </w:rPr>
              <w:t>评标价格＝投标报价×</w:t>
            </w:r>
            <w:r>
              <w:rPr>
                <w:rFonts w:hint="eastAsia" w:ascii="宋体" w:hAnsi="宋体" w:cs="宋体"/>
                <w:sz w:val="24"/>
                <w:szCs w:val="24"/>
                <w:highlight w:val="yellow"/>
              </w:rPr>
              <w:t>(1-</w:t>
            </w:r>
            <w:r>
              <w:rPr>
                <w:rFonts w:hint="eastAsia" w:ascii="宋体" w:hAnsi="宋体" w:cs="宋体"/>
                <w:sz w:val="24"/>
                <w:szCs w:val="24"/>
                <w:highlight w:val="yellow"/>
                <w:u w:val="single"/>
              </w:rPr>
              <w:t>4%)</w:t>
            </w:r>
          </w:p>
          <w:p w14:paraId="3F379EEA">
            <w:pPr>
              <w:widowControl/>
              <w:jc w:val="center"/>
              <w:rPr>
                <w:rFonts w:hint="eastAsia" w:ascii="宋体" w:hAnsi="宋体" w:cs="宋体"/>
                <w:b/>
                <w:sz w:val="24"/>
                <w:szCs w:val="24"/>
                <w:highlight w:val="yellow"/>
                <w:lang w:val="en-GB"/>
              </w:rPr>
            </w:pPr>
          </w:p>
        </w:tc>
      </w:tr>
      <w:tr w14:paraId="10D0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01" w:type="dxa"/>
            <w:noWrap/>
            <w:vAlign w:val="center"/>
          </w:tcPr>
          <w:p w14:paraId="2B69149A">
            <w:pPr>
              <w:widowControl/>
              <w:jc w:val="center"/>
              <w:rPr>
                <w:rFonts w:hint="eastAsia" w:ascii="宋体" w:hAnsi="宋体" w:cs="宋体"/>
                <w:bCs/>
                <w:sz w:val="24"/>
                <w:szCs w:val="24"/>
                <w:lang w:val="en-GB"/>
              </w:rPr>
            </w:pPr>
            <w:r>
              <w:rPr>
                <w:rFonts w:hint="eastAsia" w:ascii="宋体" w:hAnsi="宋体" w:cs="宋体"/>
                <w:bCs/>
                <w:sz w:val="24"/>
                <w:szCs w:val="24"/>
              </w:rPr>
              <w:t>3</w:t>
            </w:r>
          </w:p>
        </w:tc>
        <w:tc>
          <w:tcPr>
            <w:tcW w:w="3134" w:type="dxa"/>
            <w:noWrap/>
            <w:vAlign w:val="center"/>
          </w:tcPr>
          <w:p w14:paraId="7948262B">
            <w:pPr>
              <w:widowControl/>
              <w:jc w:val="center"/>
              <w:rPr>
                <w:rFonts w:hint="eastAsia" w:ascii="宋体" w:hAnsi="宋体" w:cs="宋体"/>
                <w:bCs/>
                <w:sz w:val="24"/>
                <w:szCs w:val="24"/>
                <w:lang w:val="en-GB"/>
              </w:rPr>
            </w:pPr>
            <w:r>
              <w:rPr>
                <w:rFonts w:hint="eastAsia" w:ascii="宋体" w:hAnsi="宋体" w:cs="宋体"/>
                <w:bCs/>
                <w:sz w:val="24"/>
                <w:szCs w:val="24"/>
                <w:lang w:val="en-GB"/>
              </w:rPr>
              <w:t>监狱企业</w:t>
            </w:r>
          </w:p>
        </w:tc>
        <w:tc>
          <w:tcPr>
            <w:tcW w:w="2834" w:type="dxa"/>
            <w:noWrap/>
            <w:vAlign w:val="center"/>
          </w:tcPr>
          <w:p w14:paraId="5FED31BC">
            <w:pPr>
              <w:widowControl/>
              <w:jc w:val="center"/>
              <w:rPr>
                <w:rFonts w:hint="eastAsia" w:ascii="宋体" w:hAnsi="宋体" w:cs="宋体"/>
                <w:sz w:val="24"/>
                <w:szCs w:val="24"/>
                <w:lang w:val="en-GB"/>
              </w:rPr>
            </w:pPr>
            <w:r>
              <w:rPr>
                <w:rFonts w:hint="eastAsia" w:ascii="宋体" w:hAnsi="宋体" w:cs="宋体"/>
                <w:sz w:val="24"/>
                <w:szCs w:val="24"/>
                <w:lang w:val="en-GB"/>
              </w:rPr>
              <w:t>视同小型、微型企业</w:t>
            </w:r>
          </w:p>
          <w:p w14:paraId="2999EBB7">
            <w:pPr>
              <w:widowControl/>
              <w:jc w:val="center"/>
              <w:rPr>
                <w:rFonts w:hint="eastAsia" w:ascii="宋体" w:hAnsi="宋体" w:cs="宋体"/>
                <w:sz w:val="24"/>
                <w:szCs w:val="24"/>
                <w:lang w:val="en-GB"/>
              </w:rPr>
            </w:pPr>
            <w:r>
              <w:rPr>
                <w:rFonts w:hint="eastAsia" w:ascii="宋体" w:hAnsi="宋体" w:cs="宋体"/>
                <w:sz w:val="24"/>
                <w:szCs w:val="24"/>
                <w:lang w:val="en-GB"/>
              </w:rPr>
              <w:t>对监狱企业产品价格扣除</w:t>
            </w:r>
            <w:r>
              <w:rPr>
                <w:rFonts w:hint="eastAsia" w:ascii="宋体" w:hAnsi="宋体" w:cs="宋体"/>
                <w:sz w:val="24"/>
                <w:szCs w:val="24"/>
                <w:u w:val="single"/>
              </w:rPr>
              <w:t>10</w:t>
            </w:r>
            <w:r>
              <w:rPr>
                <w:rFonts w:hint="eastAsia" w:ascii="宋体" w:hAnsi="宋体" w:cs="宋体"/>
                <w:sz w:val="24"/>
                <w:szCs w:val="24"/>
              </w:rPr>
              <w:t>%</w:t>
            </w:r>
          </w:p>
        </w:tc>
        <w:tc>
          <w:tcPr>
            <w:tcW w:w="3148" w:type="dxa"/>
            <w:noWrap/>
            <w:vAlign w:val="center"/>
          </w:tcPr>
          <w:p w14:paraId="10F48CF9">
            <w:pPr>
              <w:widowControl/>
              <w:jc w:val="center"/>
              <w:rPr>
                <w:rFonts w:hint="eastAsia" w:ascii="宋体" w:hAnsi="宋体" w:cs="宋体"/>
                <w:sz w:val="24"/>
                <w:szCs w:val="24"/>
                <w:lang w:val="en-GB"/>
              </w:rPr>
            </w:pPr>
            <w:r>
              <w:rPr>
                <w:rFonts w:hint="eastAsia" w:ascii="宋体" w:hAnsi="宋体" w:cs="宋体"/>
                <w:sz w:val="24"/>
                <w:szCs w:val="24"/>
                <w:lang w:val="en-GB"/>
              </w:rPr>
              <w:t>评标价格＝投标报价—</w:t>
            </w:r>
            <w:r>
              <w:rPr>
                <w:rFonts w:hint="eastAsia" w:ascii="宋体" w:hAnsi="宋体" w:cs="宋体"/>
                <w:sz w:val="24"/>
                <w:szCs w:val="24"/>
              </w:rPr>
              <w:t>监狱企业产品的价格</w:t>
            </w:r>
            <w:r>
              <w:rPr>
                <w:rFonts w:hint="eastAsia" w:ascii="宋体" w:hAnsi="宋体" w:cs="宋体"/>
                <w:sz w:val="24"/>
                <w:szCs w:val="24"/>
                <w:lang w:val="en-GB"/>
              </w:rPr>
              <w:t>×10%</w:t>
            </w:r>
          </w:p>
        </w:tc>
      </w:tr>
      <w:tr w14:paraId="3D22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01" w:type="dxa"/>
            <w:noWrap/>
            <w:vAlign w:val="center"/>
          </w:tcPr>
          <w:p w14:paraId="36C175CB">
            <w:pPr>
              <w:widowControl/>
              <w:jc w:val="center"/>
              <w:rPr>
                <w:rFonts w:hint="eastAsia" w:ascii="宋体" w:hAnsi="宋体" w:cs="宋体"/>
                <w:bCs/>
                <w:sz w:val="24"/>
                <w:szCs w:val="24"/>
                <w:lang w:val="en-GB"/>
              </w:rPr>
            </w:pPr>
            <w:r>
              <w:rPr>
                <w:rFonts w:hint="eastAsia" w:ascii="宋体" w:hAnsi="宋体" w:cs="宋体"/>
                <w:bCs/>
                <w:sz w:val="24"/>
                <w:szCs w:val="24"/>
              </w:rPr>
              <w:t>4</w:t>
            </w:r>
          </w:p>
        </w:tc>
        <w:tc>
          <w:tcPr>
            <w:tcW w:w="3134" w:type="dxa"/>
            <w:noWrap/>
            <w:vAlign w:val="center"/>
          </w:tcPr>
          <w:p w14:paraId="36D0B44E">
            <w:pPr>
              <w:widowControl/>
              <w:jc w:val="center"/>
              <w:rPr>
                <w:rFonts w:hint="eastAsia" w:ascii="宋体" w:hAnsi="宋体" w:cs="宋体"/>
                <w:bCs/>
                <w:sz w:val="24"/>
                <w:szCs w:val="24"/>
                <w:lang w:val="en-GB"/>
              </w:rPr>
            </w:pPr>
            <w:r>
              <w:rPr>
                <w:rFonts w:hint="eastAsia" w:ascii="宋体" w:hAnsi="宋体" w:cs="宋体"/>
                <w:bCs/>
                <w:sz w:val="24"/>
                <w:szCs w:val="24"/>
                <w:lang w:val="en-GB"/>
              </w:rPr>
              <w:t>残疾人福利性单位</w:t>
            </w:r>
          </w:p>
        </w:tc>
        <w:tc>
          <w:tcPr>
            <w:tcW w:w="2834" w:type="dxa"/>
            <w:noWrap/>
            <w:vAlign w:val="center"/>
          </w:tcPr>
          <w:p w14:paraId="7FA1D9B7">
            <w:pPr>
              <w:widowControl/>
              <w:jc w:val="center"/>
              <w:rPr>
                <w:rFonts w:hint="eastAsia" w:ascii="宋体" w:hAnsi="宋体" w:cs="宋体"/>
                <w:sz w:val="24"/>
                <w:szCs w:val="24"/>
                <w:lang w:val="en-GB"/>
              </w:rPr>
            </w:pPr>
            <w:r>
              <w:rPr>
                <w:rFonts w:hint="eastAsia" w:ascii="宋体" w:hAnsi="宋体" w:cs="宋体"/>
                <w:sz w:val="24"/>
                <w:szCs w:val="24"/>
                <w:lang w:val="en-GB"/>
              </w:rPr>
              <w:t>视同小型、微型企业</w:t>
            </w:r>
          </w:p>
          <w:p w14:paraId="7F2A4952">
            <w:pPr>
              <w:widowControl/>
              <w:jc w:val="center"/>
              <w:rPr>
                <w:rFonts w:hint="eastAsia" w:ascii="宋体" w:hAnsi="宋体" w:cs="宋体"/>
                <w:sz w:val="24"/>
                <w:szCs w:val="24"/>
                <w:lang w:val="en-GB"/>
              </w:rPr>
            </w:pPr>
            <w:r>
              <w:rPr>
                <w:rFonts w:hint="eastAsia" w:ascii="宋体" w:hAnsi="宋体" w:cs="宋体"/>
                <w:sz w:val="24"/>
                <w:szCs w:val="24"/>
                <w:lang w:val="en-GB"/>
              </w:rPr>
              <w:t>对残疾人福利性单位产品价格扣除</w:t>
            </w:r>
            <w:r>
              <w:rPr>
                <w:rFonts w:hint="eastAsia" w:ascii="宋体" w:hAnsi="宋体" w:cs="宋体"/>
                <w:sz w:val="24"/>
                <w:szCs w:val="24"/>
                <w:u w:val="single"/>
              </w:rPr>
              <w:t>10</w:t>
            </w:r>
            <w:r>
              <w:rPr>
                <w:rFonts w:hint="eastAsia" w:ascii="宋体" w:hAnsi="宋体" w:cs="宋体"/>
                <w:sz w:val="24"/>
                <w:szCs w:val="24"/>
              </w:rPr>
              <w:t>%</w:t>
            </w:r>
          </w:p>
        </w:tc>
        <w:tc>
          <w:tcPr>
            <w:tcW w:w="3148" w:type="dxa"/>
            <w:noWrap/>
            <w:vAlign w:val="center"/>
          </w:tcPr>
          <w:p w14:paraId="144BDB22">
            <w:pPr>
              <w:widowControl/>
              <w:jc w:val="center"/>
              <w:rPr>
                <w:rFonts w:hint="eastAsia" w:ascii="宋体" w:hAnsi="宋体" w:cs="宋体"/>
                <w:sz w:val="24"/>
                <w:szCs w:val="24"/>
                <w:lang w:val="en-GB"/>
              </w:rPr>
            </w:pPr>
            <w:r>
              <w:rPr>
                <w:rFonts w:hint="eastAsia" w:ascii="宋体" w:hAnsi="宋体" w:cs="宋体"/>
                <w:sz w:val="24"/>
                <w:szCs w:val="24"/>
                <w:lang w:val="en-GB"/>
              </w:rPr>
              <w:t>评标价格＝投标报价—</w:t>
            </w:r>
            <w:r>
              <w:rPr>
                <w:rFonts w:hint="eastAsia" w:ascii="宋体" w:hAnsi="宋体" w:cs="宋体"/>
                <w:sz w:val="24"/>
                <w:szCs w:val="24"/>
              </w:rPr>
              <w:t>残疾人福利性单位产品的价格</w:t>
            </w:r>
            <w:r>
              <w:rPr>
                <w:rFonts w:hint="eastAsia" w:ascii="宋体" w:hAnsi="宋体" w:cs="宋体"/>
                <w:sz w:val="24"/>
                <w:szCs w:val="24"/>
                <w:lang w:val="en-GB"/>
              </w:rPr>
              <w:t>×10%</w:t>
            </w:r>
          </w:p>
        </w:tc>
      </w:tr>
      <w:tr w14:paraId="029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9917" w:type="dxa"/>
            <w:gridSpan w:val="4"/>
            <w:noWrap/>
            <w:vAlign w:val="center"/>
          </w:tcPr>
          <w:p w14:paraId="6B3F7A76">
            <w:pPr>
              <w:widowControl/>
              <w:adjustRightInd w:val="0"/>
              <w:spacing w:line="360" w:lineRule="auto"/>
              <w:ind w:left="-2" w:leftChars="-1" w:firstLine="480" w:firstLineChars="200"/>
              <w:jc w:val="left"/>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中小企业应在响应文件提供《中小企业声明函》。监狱企业应当在响应文件中提供由省级以上监狱管理局、戒毒管理局(含新疆生产建设兵团)出具的属于监狱企业的证明文件扫描件。残疾人福利性单位应当在响应文件中提供《残疾人福利性单位声明函》。</w:t>
            </w:r>
          </w:p>
          <w:p w14:paraId="7D49E14C">
            <w:pPr>
              <w:widowControl/>
              <w:spacing w:line="360" w:lineRule="auto"/>
              <w:ind w:firstLine="480" w:firstLineChars="200"/>
              <w:rPr>
                <w:rFonts w:hint="eastAsia" w:ascii="宋体" w:hAnsi="宋体" w:cs="宋体"/>
                <w:bCs/>
                <w:sz w:val="24"/>
                <w:szCs w:val="24"/>
                <w:lang w:val="en-GB"/>
              </w:rPr>
            </w:pPr>
            <w:r>
              <w:rPr>
                <w:rFonts w:hint="eastAsia" w:ascii="宋体" w:hAnsi="宋体" w:cs="宋体"/>
                <w:bCs/>
                <w:sz w:val="24"/>
                <w:szCs w:val="24"/>
              </w:rPr>
              <w:t>2、</w:t>
            </w:r>
            <w:r>
              <w:rPr>
                <w:rFonts w:hint="eastAsia" w:ascii="宋体" w:hAnsi="宋体" w:cs="宋体"/>
                <w:bCs/>
                <w:sz w:val="24"/>
                <w:szCs w:val="24"/>
                <w:lang w:val="en-GB"/>
              </w:rPr>
              <w:t>不接受联合体投标的项目，本表中第2项情形不适用。</w:t>
            </w:r>
          </w:p>
          <w:p w14:paraId="1655181F">
            <w:pPr>
              <w:widowControl/>
              <w:spacing w:line="360" w:lineRule="auto"/>
              <w:ind w:firstLine="480" w:firstLineChars="200"/>
              <w:rPr>
                <w:rFonts w:hint="eastAsia" w:ascii="宋体" w:hAnsi="宋体" w:cs="宋体"/>
                <w:bCs/>
                <w:sz w:val="24"/>
                <w:szCs w:val="24"/>
                <w:lang w:val="en-GB"/>
              </w:rPr>
            </w:pPr>
            <w:r>
              <w:rPr>
                <w:rFonts w:hint="eastAsia" w:ascii="宋体" w:hAnsi="宋体" w:cs="宋体"/>
                <w:bCs/>
                <w:sz w:val="24"/>
                <w:szCs w:val="24"/>
              </w:rPr>
              <w:t>3、</w:t>
            </w:r>
            <w:r>
              <w:rPr>
                <w:rFonts w:hint="eastAsia" w:ascii="宋体" w:hAnsi="宋体" w:cs="宋体"/>
                <w:bCs/>
                <w:sz w:val="24"/>
                <w:szCs w:val="24"/>
                <w:lang w:val="en-GB"/>
              </w:rPr>
              <w:t>小型和微型企业产品包括货物及其提供的服务与工程。</w:t>
            </w:r>
          </w:p>
          <w:p w14:paraId="598B2C4F">
            <w:pPr>
              <w:widowControl/>
              <w:spacing w:line="360" w:lineRule="auto"/>
              <w:ind w:firstLine="480" w:firstLineChars="200"/>
              <w:rPr>
                <w:rFonts w:hint="eastAsia" w:ascii="宋体" w:hAnsi="宋体" w:cs="宋体"/>
                <w:bCs/>
                <w:sz w:val="24"/>
                <w:szCs w:val="24"/>
                <w:lang w:val="en-GB"/>
              </w:rPr>
            </w:pPr>
            <w:r>
              <w:rPr>
                <w:rFonts w:hint="eastAsia" w:ascii="宋体" w:hAnsi="宋体" w:cs="宋体"/>
                <w:bCs/>
                <w:sz w:val="24"/>
                <w:szCs w:val="24"/>
              </w:rPr>
              <w:t>4、</w:t>
            </w:r>
            <w:r>
              <w:rPr>
                <w:rFonts w:hint="eastAsia" w:ascii="宋体" w:hAnsi="宋体" w:cs="宋体"/>
                <w:bCs/>
                <w:sz w:val="24"/>
                <w:szCs w:val="24"/>
                <w:lang w:val="en-GB"/>
              </w:rPr>
              <w:t>中小企业、残疾人福利性单位提供其他企业制造的货物的，则该货物的制造商也必须为上述企业，否则不能享受价格优惠。</w:t>
            </w:r>
          </w:p>
          <w:p w14:paraId="4B2FC4BD">
            <w:pPr>
              <w:widowControl/>
              <w:spacing w:line="360" w:lineRule="auto"/>
              <w:ind w:firstLine="480" w:firstLineChars="200"/>
              <w:rPr>
                <w:rFonts w:hint="eastAsia" w:ascii="宋体" w:hAnsi="宋体" w:cs="宋体"/>
                <w:sz w:val="24"/>
                <w:szCs w:val="24"/>
                <w:lang w:val="zh-CN"/>
              </w:rPr>
            </w:pPr>
            <w:r>
              <w:rPr>
                <w:rFonts w:hint="eastAsia" w:ascii="宋体" w:hAnsi="宋体" w:cs="宋体"/>
                <w:bCs/>
                <w:sz w:val="24"/>
                <w:szCs w:val="24"/>
              </w:rPr>
              <w:t>5、</w:t>
            </w:r>
            <w:r>
              <w:rPr>
                <w:rFonts w:hint="eastAsia" w:ascii="宋体" w:hAnsi="宋体" w:cs="宋体"/>
                <w:bCs/>
                <w:sz w:val="24"/>
                <w:szCs w:val="24"/>
                <w:lang w:val="en-GB"/>
              </w:rPr>
              <w:t>残疾人福利性单位属于小型、微型企业的，不重复享受政策。</w:t>
            </w:r>
          </w:p>
        </w:tc>
      </w:tr>
    </w:tbl>
    <w:p w14:paraId="207281E9">
      <w:pPr>
        <w:rPr>
          <w:rFonts w:ascii="宋体"/>
          <w:b/>
          <w:bCs/>
          <w:sz w:val="24"/>
          <w:szCs w:val="24"/>
        </w:rPr>
      </w:pPr>
    </w:p>
    <w:p w14:paraId="63EE9BCA">
      <w:pPr>
        <w:pStyle w:val="3"/>
        <w:spacing w:line="480" w:lineRule="exact"/>
        <w:rPr>
          <w:rFonts w:hint="eastAsia" w:ascii="宋体" w:hAnsi="宋体" w:eastAsia="宋体"/>
          <w:sz w:val="24"/>
          <w:szCs w:val="24"/>
        </w:rPr>
      </w:pPr>
      <w:r>
        <w:rPr>
          <w:rFonts w:ascii="宋体" w:hAnsi="宋体" w:eastAsia="宋体" w:cs="宋体"/>
          <w:sz w:val="24"/>
          <w:szCs w:val="24"/>
        </w:rPr>
        <w:br w:type="page"/>
      </w:r>
      <w:bookmarkStart w:id="343" w:name="_Toc152656724"/>
      <w:r>
        <w:rPr>
          <w:rFonts w:ascii="宋体" w:hAnsi="宋体" w:eastAsia="宋体" w:cs="宋体"/>
          <w:sz w:val="24"/>
          <w:szCs w:val="24"/>
        </w:rPr>
        <w:t>1</w:t>
      </w:r>
      <w:r>
        <w:rPr>
          <w:rFonts w:hint="eastAsia" w:ascii="宋体" w:hAnsi="宋体" w:eastAsia="宋体" w:cs="宋体"/>
          <w:sz w:val="24"/>
          <w:szCs w:val="24"/>
        </w:rPr>
        <w:t>、评标方法</w:t>
      </w:r>
      <w:bookmarkEnd w:id="339"/>
      <w:bookmarkEnd w:id="340"/>
      <w:bookmarkEnd w:id="341"/>
      <w:bookmarkEnd w:id="343"/>
    </w:p>
    <w:p w14:paraId="53DB848D">
      <w:pPr>
        <w:spacing w:line="480" w:lineRule="exact"/>
        <w:ind w:firstLine="480" w:firstLineChars="200"/>
        <w:rPr>
          <w:rFonts w:ascii="宋体" w:cs="宋体"/>
          <w:sz w:val="24"/>
          <w:szCs w:val="24"/>
        </w:rPr>
      </w:pPr>
      <w:r>
        <w:rPr>
          <w:rFonts w:hint="eastAsia" w:ascii="宋体" w:hAnsi="宋体" w:cs="宋体"/>
          <w:sz w:val="24"/>
          <w:szCs w:val="24"/>
        </w:rPr>
        <w:t>本次评标采用综合评分法。磋商小组对满足</w:t>
      </w:r>
      <w:r>
        <w:rPr>
          <w:rFonts w:hint="eastAsia" w:hAnsi="宋体" w:cs="宋体"/>
          <w:sz w:val="24"/>
          <w:szCs w:val="24"/>
        </w:rPr>
        <w:t>竞争性磋商文件</w:t>
      </w:r>
      <w:r>
        <w:rPr>
          <w:rFonts w:hint="eastAsia" w:ascii="宋体" w:hAnsi="宋体" w:cs="宋体"/>
          <w:sz w:val="24"/>
          <w:szCs w:val="24"/>
        </w:rPr>
        <w:t>实质性要求的响应文件，按照本章第</w:t>
      </w:r>
      <w:r>
        <w:rPr>
          <w:rFonts w:ascii="宋体" w:hAnsi="宋体" w:cs="宋体"/>
          <w:sz w:val="24"/>
          <w:szCs w:val="24"/>
        </w:rPr>
        <w:t xml:space="preserve">2.2 </w:t>
      </w:r>
      <w:r>
        <w:rPr>
          <w:rFonts w:hint="eastAsia" w:ascii="宋体" w:hAnsi="宋体" w:cs="宋体"/>
          <w:sz w:val="24"/>
          <w:szCs w:val="24"/>
        </w:rPr>
        <w:t>款规定的评分标准进行打分，并按得分由高到低顺序推荐成交候选人，或根据采购人授权直接确定成交供应商，但投标报价低于其成本的除外。综合评分相等时，以投标报价低的优先；投标报价也相等的，由采购人自行确定。</w:t>
      </w:r>
      <w:bookmarkStart w:id="344" w:name="_Toc304463249"/>
      <w:bookmarkEnd w:id="344"/>
      <w:bookmarkStart w:id="345" w:name="_Toc25759_WPSOffice_Level2"/>
      <w:bookmarkStart w:id="346" w:name="_Toc14978"/>
      <w:bookmarkStart w:id="347" w:name="_Toc4866"/>
    </w:p>
    <w:p w14:paraId="2778EBD7">
      <w:pPr>
        <w:pStyle w:val="3"/>
        <w:spacing w:line="480" w:lineRule="exact"/>
        <w:rPr>
          <w:rFonts w:hint="eastAsia" w:ascii="宋体" w:hAnsi="宋体" w:eastAsia="宋体"/>
          <w:sz w:val="24"/>
          <w:szCs w:val="24"/>
        </w:rPr>
      </w:pPr>
      <w:bookmarkStart w:id="348" w:name="_Toc152656725"/>
      <w:r>
        <w:rPr>
          <w:rFonts w:ascii="宋体" w:hAnsi="宋体" w:eastAsia="宋体" w:cs="宋体"/>
          <w:sz w:val="24"/>
          <w:szCs w:val="24"/>
        </w:rPr>
        <w:t>2</w:t>
      </w:r>
      <w:r>
        <w:rPr>
          <w:rFonts w:hint="eastAsia" w:ascii="宋体" w:hAnsi="宋体" w:eastAsia="宋体" w:cs="宋体"/>
          <w:sz w:val="24"/>
          <w:szCs w:val="24"/>
        </w:rPr>
        <w:t>、评审标准</w:t>
      </w:r>
      <w:bookmarkEnd w:id="345"/>
      <w:bookmarkEnd w:id="346"/>
      <w:bookmarkEnd w:id="347"/>
      <w:bookmarkEnd w:id="348"/>
    </w:p>
    <w:p w14:paraId="64FC700B">
      <w:pPr>
        <w:spacing w:line="480" w:lineRule="exact"/>
        <w:rPr>
          <w:rFonts w:ascii="宋体" w:cs="宋体"/>
          <w:b/>
          <w:bCs/>
          <w:sz w:val="24"/>
          <w:szCs w:val="24"/>
        </w:rPr>
      </w:pPr>
      <w:bookmarkStart w:id="349" w:name="_Toc24585"/>
      <w:bookmarkEnd w:id="349"/>
      <w:bookmarkStart w:id="350" w:name="_Toc23517"/>
      <w:bookmarkStart w:id="351" w:name="_Toc3171"/>
      <w:bookmarkStart w:id="352" w:name="_Toc16682"/>
      <w:bookmarkStart w:id="353" w:name="_Toc29228"/>
      <w:bookmarkStart w:id="354" w:name="_Toc21349_WPSOffice_Level2"/>
      <w:r>
        <w:rPr>
          <w:rFonts w:ascii="宋体" w:hAnsi="宋体" w:cs="宋体"/>
          <w:b/>
          <w:bCs/>
          <w:sz w:val="24"/>
          <w:szCs w:val="24"/>
        </w:rPr>
        <w:t>2.1</w:t>
      </w:r>
      <w:r>
        <w:rPr>
          <w:rFonts w:hint="eastAsia" w:ascii="宋体" w:hAnsi="宋体" w:cs="宋体"/>
          <w:b/>
          <w:bCs/>
          <w:sz w:val="24"/>
          <w:szCs w:val="24"/>
        </w:rPr>
        <w:t>资格评审标准：</w:t>
      </w:r>
      <w:r>
        <w:rPr>
          <w:rFonts w:hint="eastAsia" w:ascii="宋体" w:hAnsi="宋体" w:cs="宋体"/>
          <w:sz w:val="24"/>
          <w:szCs w:val="24"/>
        </w:rPr>
        <w:t>见第三章“评标办法”中“一、资格审查”。</w:t>
      </w:r>
    </w:p>
    <w:p w14:paraId="43634723">
      <w:pPr>
        <w:spacing w:line="480" w:lineRule="exact"/>
        <w:rPr>
          <w:rFonts w:ascii="宋体" w:cs="宋体"/>
          <w:b/>
          <w:bCs/>
          <w:sz w:val="24"/>
          <w:szCs w:val="24"/>
        </w:rPr>
      </w:pPr>
      <w:r>
        <w:rPr>
          <w:rFonts w:ascii="宋体" w:hAnsi="宋体" w:cs="宋体"/>
          <w:b/>
          <w:bCs/>
          <w:sz w:val="24"/>
          <w:szCs w:val="24"/>
        </w:rPr>
        <w:t>2.2</w:t>
      </w:r>
      <w:r>
        <w:rPr>
          <w:rFonts w:hint="eastAsia" w:ascii="宋体" w:hAnsi="宋体" w:cs="宋体"/>
          <w:b/>
          <w:bCs/>
          <w:sz w:val="24"/>
          <w:szCs w:val="24"/>
        </w:rPr>
        <w:t>符合性评审标准</w:t>
      </w:r>
      <w:bookmarkEnd w:id="350"/>
      <w:bookmarkEnd w:id="351"/>
      <w:bookmarkEnd w:id="352"/>
      <w:r>
        <w:rPr>
          <w:rFonts w:hint="eastAsia" w:ascii="宋体" w:hAnsi="宋体" w:cs="宋体"/>
          <w:b/>
          <w:bCs/>
          <w:sz w:val="24"/>
          <w:szCs w:val="24"/>
        </w:rPr>
        <w:t>：</w:t>
      </w:r>
      <w:r>
        <w:rPr>
          <w:rFonts w:hint="eastAsia" w:ascii="宋体" w:hAnsi="宋体" w:cs="宋体"/>
          <w:sz w:val="24"/>
          <w:szCs w:val="24"/>
        </w:rPr>
        <w:t>见评标办法前附表。</w:t>
      </w:r>
    </w:p>
    <w:p w14:paraId="52ACEE31">
      <w:pPr>
        <w:spacing w:line="480" w:lineRule="exact"/>
        <w:rPr>
          <w:rFonts w:ascii="宋体" w:cs="宋体"/>
          <w:b/>
          <w:bCs/>
          <w:sz w:val="24"/>
          <w:szCs w:val="24"/>
        </w:rPr>
      </w:pPr>
      <w:bookmarkStart w:id="355" w:name="_Toc26360"/>
      <w:bookmarkStart w:id="356" w:name="_Toc9169"/>
      <w:bookmarkStart w:id="357" w:name="_Toc10268"/>
      <w:r>
        <w:rPr>
          <w:rFonts w:ascii="宋体" w:hAnsi="宋体" w:cs="宋体"/>
          <w:b/>
          <w:bCs/>
          <w:sz w:val="24"/>
          <w:szCs w:val="24"/>
        </w:rPr>
        <w:t>2.3</w:t>
      </w:r>
      <w:r>
        <w:rPr>
          <w:rFonts w:hint="eastAsia" w:ascii="宋体" w:hAnsi="宋体" w:cs="宋体"/>
          <w:b/>
          <w:bCs/>
          <w:sz w:val="24"/>
          <w:szCs w:val="24"/>
        </w:rPr>
        <w:t>分值构成与评分标准</w:t>
      </w:r>
      <w:bookmarkEnd w:id="355"/>
      <w:bookmarkEnd w:id="356"/>
      <w:bookmarkEnd w:id="357"/>
    </w:p>
    <w:p w14:paraId="4F3ABDE5">
      <w:pPr>
        <w:spacing w:line="440" w:lineRule="exact"/>
        <w:ind w:firstLine="480" w:firstLineChars="200"/>
        <w:rPr>
          <w:rFonts w:ascii="宋体" w:cs="宋体"/>
          <w:sz w:val="24"/>
          <w:szCs w:val="24"/>
        </w:rPr>
      </w:pPr>
      <w:r>
        <w:rPr>
          <w:rFonts w:ascii="宋体" w:hAnsi="宋体" w:cs="宋体"/>
          <w:sz w:val="24"/>
          <w:szCs w:val="24"/>
        </w:rPr>
        <w:t xml:space="preserve">2.3.1 </w:t>
      </w:r>
      <w:r>
        <w:rPr>
          <w:rFonts w:hint="eastAsia" w:ascii="宋体" w:hAnsi="宋体" w:cs="宋体"/>
          <w:sz w:val="24"/>
          <w:szCs w:val="24"/>
        </w:rPr>
        <w:t>分值构成</w:t>
      </w:r>
    </w:p>
    <w:p w14:paraId="1B93C9D8">
      <w:pPr>
        <w:spacing w:line="440" w:lineRule="exact"/>
        <w:ind w:firstLine="480" w:firstLineChars="200"/>
        <w:rPr>
          <w:rFonts w:ascii="宋体" w:cs="宋体"/>
          <w:sz w:val="24"/>
          <w:szCs w:val="24"/>
        </w:rPr>
      </w:pPr>
      <w:r>
        <w:rPr>
          <w:rFonts w:ascii="宋体" w:hAnsi="宋体" w:cs="宋体"/>
          <w:sz w:val="24"/>
          <w:szCs w:val="24"/>
        </w:rPr>
        <w:t>(l</w:t>
      </w:r>
      <w:r>
        <w:rPr>
          <w:rFonts w:hint="eastAsia" w:ascii="宋体" w:hAnsi="宋体" w:cs="宋体"/>
          <w:sz w:val="24"/>
          <w:szCs w:val="24"/>
        </w:rPr>
        <w:t>）商务标：见评标办法前附表；</w:t>
      </w:r>
    </w:p>
    <w:p w14:paraId="0FB31A2B">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）技术标：见评标办法前附表；</w:t>
      </w:r>
    </w:p>
    <w:p w14:paraId="64FFAE06">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）综合标：见评标办法前附表；</w:t>
      </w:r>
    </w:p>
    <w:p w14:paraId="3FC4042E">
      <w:pPr>
        <w:spacing w:line="440" w:lineRule="exact"/>
        <w:ind w:firstLine="480" w:firstLineChars="200"/>
        <w:rPr>
          <w:rFonts w:ascii="宋体" w:cs="宋体"/>
          <w:sz w:val="24"/>
          <w:szCs w:val="24"/>
        </w:rPr>
      </w:pPr>
      <w:r>
        <w:rPr>
          <w:rFonts w:ascii="宋体" w:hAnsi="宋体" w:cs="宋体"/>
          <w:sz w:val="24"/>
          <w:szCs w:val="24"/>
        </w:rPr>
        <w:t>2.3.</w:t>
      </w:r>
      <w:r>
        <w:rPr>
          <w:rFonts w:hint="eastAsia" w:ascii="宋体" w:hAnsi="宋体" w:cs="宋体"/>
          <w:sz w:val="24"/>
          <w:szCs w:val="24"/>
        </w:rPr>
        <w:t>2评分标准</w:t>
      </w:r>
    </w:p>
    <w:p w14:paraId="5DE1370B">
      <w:pPr>
        <w:spacing w:line="440" w:lineRule="exact"/>
        <w:ind w:firstLine="480" w:firstLineChars="200"/>
        <w:rPr>
          <w:rFonts w:ascii="宋体" w:cs="宋体"/>
          <w:sz w:val="24"/>
          <w:szCs w:val="24"/>
        </w:rPr>
      </w:pPr>
      <w:bookmarkStart w:id="358" w:name="_Toc29033"/>
      <w:bookmarkStart w:id="359" w:name="_Toc184635095"/>
      <w:bookmarkStart w:id="360" w:name="_Toc13772"/>
      <w:r>
        <w:rPr>
          <w:rFonts w:ascii="宋体" w:hAnsi="宋体" w:cs="宋体"/>
          <w:sz w:val="24"/>
          <w:szCs w:val="24"/>
        </w:rPr>
        <w:t>(l</w:t>
      </w:r>
      <w:r>
        <w:rPr>
          <w:rFonts w:hint="eastAsia" w:ascii="宋体" w:hAnsi="宋体" w:cs="宋体"/>
          <w:sz w:val="24"/>
          <w:szCs w:val="24"/>
        </w:rPr>
        <w:t>）商务标评分标准：见评标办法前附表；</w:t>
      </w:r>
    </w:p>
    <w:p w14:paraId="24099523">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）技术标评分标准：见评标办法前附表；</w:t>
      </w:r>
    </w:p>
    <w:p w14:paraId="1EAB2806">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）综合标评分标准：见评标办法前附表；</w:t>
      </w:r>
    </w:p>
    <w:bookmarkEnd w:id="358"/>
    <w:bookmarkEnd w:id="359"/>
    <w:bookmarkEnd w:id="360"/>
    <w:p w14:paraId="272B2C86">
      <w:pPr>
        <w:pStyle w:val="3"/>
        <w:spacing w:line="480" w:lineRule="exact"/>
        <w:rPr>
          <w:rFonts w:hint="eastAsia" w:ascii="宋体" w:hAnsi="宋体" w:eastAsia="宋体"/>
          <w:sz w:val="24"/>
          <w:szCs w:val="24"/>
        </w:rPr>
      </w:pPr>
      <w:bookmarkStart w:id="361" w:name="_Toc152656726"/>
      <w:r>
        <w:rPr>
          <w:rFonts w:ascii="宋体" w:hAnsi="宋体" w:eastAsia="宋体" w:cs="宋体"/>
          <w:sz w:val="24"/>
          <w:szCs w:val="24"/>
        </w:rPr>
        <w:t>3</w:t>
      </w:r>
      <w:r>
        <w:rPr>
          <w:rFonts w:hint="eastAsia" w:ascii="宋体" w:hAnsi="宋体" w:eastAsia="宋体" w:cs="宋体"/>
          <w:sz w:val="24"/>
          <w:szCs w:val="24"/>
        </w:rPr>
        <w:t>、评标程序</w:t>
      </w:r>
      <w:bookmarkEnd w:id="353"/>
      <w:bookmarkEnd w:id="354"/>
      <w:bookmarkEnd w:id="361"/>
    </w:p>
    <w:p w14:paraId="3E57C8F4">
      <w:pPr>
        <w:spacing w:line="440" w:lineRule="exact"/>
        <w:ind w:firstLine="480" w:firstLineChars="200"/>
        <w:rPr>
          <w:rFonts w:ascii="宋体" w:cs="宋体"/>
          <w:sz w:val="24"/>
          <w:szCs w:val="24"/>
        </w:rPr>
      </w:pPr>
      <w:bookmarkStart w:id="362" w:name="_Toc573"/>
      <w:r>
        <w:rPr>
          <w:rFonts w:hint="eastAsia" w:ascii="宋体" w:hAnsi="宋体" w:cs="宋体"/>
          <w:sz w:val="24"/>
          <w:szCs w:val="24"/>
        </w:rPr>
        <w:t>磋商小组全体成员对响应文件的形式和响应性进行符合性评审。评标专家按照专业类别仅对自己专业范围内容独立客观评审，不再对自己专业外的内容评审打分。采购人代表对供应商的综合标进行评审，采购人代表不参与其他部分的评审工作。</w:t>
      </w:r>
    </w:p>
    <w:p w14:paraId="48C4FBED">
      <w:pPr>
        <w:spacing w:line="480" w:lineRule="exact"/>
        <w:rPr>
          <w:rFonts w:ascii="宋体" w:cs="宋体"/>
          <w:b/>
          <w:bCs/>
          <w:sz w:val="24"/>
          <w:szCs w:val="24"/>
        </w:rPr>
      </w:pPr>
      <w:r>
        <w:rPr>
          <w:rFonts w:ascii="宋体" w:hAnsi="宋体" w:cs="宋体"/>
          <w:b/>
          <w:bCs/>
          <w:sz w:val="24"/>
          <w:szCs w:val="24"/>
        </w:rPr>
        <w:t xml:space="preserve">3.1 </w:t>
      </w:r>
      <w:r>
        <w:rPr>
          <w:rFonts w:hint="eastAsia" w:ascii="宋体" w:hAnsi="宋体" w:cs="宋体"/>
          <w:b/>
          <w:bCs/>
          <w:sz w:val="24"/>
          <w:szCs w:val="24"/>
        </w:rPr>
        <w:t>初步评审</w:t>
      </w:r>
      <w:bookmarkEnd w:id="362"/>
    </w:p>
    <w:p w14:paraId="48019148">
      <w:pPr>
        <w:spacing w:line="480" w:lineRule="exact"/>
        <w:ind w:firstLine="480" w:firstLineChars="200"/>
        <w:rPr>
          <w:rFonts w:ascii="宋体" w:cs="宋体"/>
          <w:sz w:val="24"/>
          <w:szCs w:val="24"/>
        </w:rPr>
      </w:pPr>
      <w:r>
        <w:rPr>
          <w:rFonts w:ascii="宋体" w:hAnsi="宋体" w:cs="宋体"/>
          <w:sz w:val="24"/>
          <w:szCs w:val="24"/>
        </w:rPr>
        <w:t>3.1.1</w:t>
      </w:r>
      <w:r>
        <w:rPr>
          <w:rFonts w:hint="eastAsia" w:ascii="宋体" w:hAnsi="宋体" w:cs="宋体"/>
          <w:sz w:val="24"/>
          <w:szCs w:val="24"/>
        </w:rPr>
        <w:t>供应商有以下情形之一的，其投标作废标处理：</w:t>
      </w:r>
    </w:p>
    <w:p w14:paraId="7F2F5D5B">
      <w:pPr>
        <w:spacing w:line="480" w:lineRule="exact"/>
        <w:ind w:firstLine="480" w:firstLineChars="200"/>
        <w:rPr>
          <w:rFonts w:ascii="宋体" w:cs="宋体"/>
          <w:sz w:val="24"/>
          <w:szCs w:val="24"/>
        </w:rPr>
      </w:pPr>
      <w:r>
        <w:rPr>
          <w:rFonts w:hint="eastAsia" w:ascii="宋体" w:hAnsi="宋体" w:cs="宋体"/>
          <w:sz w:val="24"/>
          <w:szCs w:val="24"/>
        </w:rPr>
        <w:t>（1）第二章“供应商须知”第</w:t>
      </w:r>
      <w:r>
        <w:rPr>
          <w:rFonts w:ascii="宋体" w:hAnsi="宋体" w:cs="宋体"/>
          <w:sz w:val="24"/>
          <w:szCs w:val="24"/>
        </w:rPr>
        <w:t>1.4.</w:t>
      </w:r>
      <w:r>
        <w:rPr>
          <w:rFonts w:hint="eastAsia" w:ascii="宋体" w:hAnsi="宋体" w:cs="宋体"/>
          <w:sz w:val="24"/>
          <w:szCs w:val="24"/>
        </w:rPr>
        <w:t>3项规定的任何一种情形的；</w:t>
      </w:r>
    </w:p>
    <w:p w14:paraId="571D62F8">
      <w:pPr>
        <w:spacing w:line="480" w:lineRule="exact"/>
        <w:ind w:firstLine="480" w:firstLineChars="200"/>
        <w:rPr>
          <w:rFonts w:ascii="宋体" w:cs="宋体"/>
          <w:sz w:val="24"/>
          <w:szCs w:val="24"/>
        </w:rPr>
      </w:pPr>
      <w:r>
        <w:rPr>
          <w:rFonts w:hint="eastAsia" w:ascii="宋体" w:hAnsi="宋体" w:cs="宋体"/>
          <w:sz w:val="24"/>
          <w:szCs w:val="24"/>
        </w:rPr>
        <w:t>（2）</w:t>
      </w:r>
      <w:r>
        <w:rPr>
          <w:rFonts w:ascii="宋体" w:hAnsi="宋体" w:cs="宋体"/>
          <w:sz w:val="24"/>
          <w:szCs w:val="24"/>
        </w:rPr>
        <w:t>响应文件未按</w:t>
      </w:r>
      <w:r>
        <w:rPr>
          <w:rFonts w:hint="eastAsia" w:hAnsi="宋体" w:cs="宋体"/>
          <w:sz w:val="24"/>
          <w:szCs w:val="24"/>
        </w:rPr>
        <w:t>竞争性磋商文件</w:t>
      </w:r>
      <w:r>
        <w:rPr>
          <w:rFonts w:ascii="宋体" w:hAnsi="宋体" w:cs="宋体"/>
          <w:sz w:val="24"/>
          <w:szCs w:val="24"/>
        </w:rPr>
        <w:t>要求签署、盖章的；</w:t>
      </w:r>
    </w:p>
    <w:p w14:paraId="1D6AA820">
      <w:pPr>
        <w:spacing w:line="480" w:lineRule="exact"/>
        <w:ind w:firstLine="480" w:firstLineChars="200"/>
        <w:rPr>
          <w:rFonts w:ascii="宋体" w:cs="宋体"/>
          <w:sz w:val="24"/>
          <w:szCs w:val="24"/>
        </w:rPr>
      </w:pPr>
      <w:r>
        <w:rPr>
          <w:rFonts w:hint="eastAsia" w:ascii="宋体" w:hAnsi="宋体" w:cs="宋体"/>
          <w:sz w:val="24"/>
          <w:szCs w:val="24"/>
        </w:rPr>
        <w:t>（3）未按规定的格式填写，内容不全或关键字迹模糊、无法辨认的；</w:t>
      </w:r>
    </w:p>
    <w:p w14:paraId="1FC099E9">
      <w:pPr>
        <w:spacing w:line="480" w:lineRule="exact"/>
        <w:ind w:firstLine="480" w:firstLineChars="200"/>
        <w:rPr>
          <w:rFonts w:ascii="宋体" w:cs="宋体"/>
          <w:sz w:val="24"/>
          <w:szCs w:val="24"/>
        </w:rPr>
      </w:pPr>
      <w:r>
        <w:rPr>
          <w:rFonts w:hint="eastAsia" w:ascii="宋体" w:hAnsi="宋体" w:cs="宋体"/>
          <w:sz w:val="24"/>
          <w:szCs w:val="24"/>
        </w:rPr>
        <w:t>（4）供应商递交两份或多份内容不同的响应文件，或在一份响应文件中对同一招标项目报有两个或多个报价的，按</w:t>
      </w:r>
      <w:r>
        <w:rPr>
          <w:rFonts w:hint="eastAsia" w:hAnsi="宋体" w:cs="宋体"/>
          <w:sz w:val="24"/>
          <w:szCs w:val="24"/>
        </w:rPr>
        <w:t>竞争性磋商文件</w:t>
      </w:r>
      <w:r>
        <w:rPr>
          <w:rFonts w:hint="eastAsia" w:ascii="宋体" w:hAnsi="宋体" w:cs="宋体"/>
          <w:sz w:val="24"/>
          <w:szCs w:val="24"/>
        </w:rPr>
        <w:t>规定提交备选投标方案的除外；</w:t>
      </w:r>
    </w:p>
    <w:p w14:paraId="3ADD41A8">
      <w:pPr>
        <w:spacing w:line="480" w:lineRule="exact"/>
        <w:ind w:firstLine="480" w:firstLineChars="200"/>
        <w:rPr>
          <w:rFonts w:hint="eastAsia" w:ascii="宋体" w:hAnsi="宋体" w:cs="宋体"/>
          <w:sz w:val="24"/>
          <w:szCs w:val="24"/>
        </w:rPr>
      </w:pPr>
      <w:r>
        <w:rPr>
          <w:rFonts w:hint="eastAsia" w:ascii="宋体" w:hAnsi="宋体" w:cs="宋体"/>
          <w:sz w:val="24"/>
          <w:szCs w:val="24"/>
        </w:rPr>
        <w:t>（5）资格审查资料提供不全或未按要求提供的；</w:t>
      </w:r>
    </w:p>
    <w:p w14:paraId="552CA4D8">
      <w:pPr>
        <w:spacing w:line="480" w:lineRule="exact"/>
        <w:ind w:firstLine="480" w:firstLineChars="200"/>
        <w:rPr>
          <w:rFonts w:ascii="宋体" w:cs="宋体"/>
          <w:sz w:val="24"/>
          <w:szCs w:val="24"/>
        </w:rPr>
      </w:pPr>
      <w:r>
        <w:rPr>
          <w:rFonts w:hint="eastAsia" w:ascii="宋体" w:hAnsi="宋体" w:cs="宋体"/>
          <w:sz w:val="24"/>
          <w:szCs w:val="24"/>
        </w:rPr>
        <w:t>（6）不符合</w:t>
      </w:r>
      <w:r>
        <w:rPr>
          <w:rFonts w:hint="eastAsia" w:hAnsi="宋体" w:cs="宋体"/>
          <w:sz w:val="24"/>
          <w:szCs w:val="24"/>
        </w:rPr>
        <w:t>竞争性磋商文件</w:t>
      </w:r>
      <w:r>
        <w:rPr>
          <w:rFonts w:hint="eastAsia" w:ascii="宋体" w:hAnsi="宋体" w:cs="宋体"/>
          <w:sz w:val="24"/>
          <w:szCs w:val="24"/>
        </w:rPr>
        <w:t>中规定的其他实质性要求的；</w:t>
      </w:r>
    </w:p>
    <w:p w14:paraId="2CBCD201">
      <w:pPr>
        <w:spacing w:line="480" w:lineRule="exact"/>
        <w:ind w:firstLine="480" w:firstLineChars="200"/>
        <w:rPr>
          <w:rFonts w:ascii="宋体" w:cs="宋体"/>
          <w:sz w:val="24"/>
          <w:szCs w:val="24"/>
        </w:rPr>
      </w:pPr>
      <w:r>
        <w:rPr>
          <w:rFonts w:hint="eastAsia" w:ascii="宋体" w:hAnsi="宋体" w:cs="宋体"/>
          <w:sz w:val="24"/>
          <w:szCs w:val="24"/>
        </w:rPr>
        <w:t>（7）投标行为违反政府采购法以及相关法律、法规和规定的。</w:t>
      </w:r>
    </w:p>
    <w:p w14:paraId="62D13A8A">
      <w:pPr>
        <w:spacing w:line="480" w:lineRule="exact"/>
        <w:ind w:firstLine="480" w:firstLineChars="200"/>
        <w:rPr>
          <w:rFonts w:ascii="宋体" w:cs="宋体"/>
          <w:sz w:val="24"/>
          <w:szCs w:val="24"/>
        </w:rPr>
      </w:pPr>
      <w:r>
        <w:rPr>
          <w:rFonts w:ascii="宋体" w:hAnsi="宋体" w:cs="宋体"/>
          <w:sz w:val="24"/>
          <w:szCs w:val="24"/>
        </w:rPr>
        <w:t xml:space="preserve">3.1.4 </w:t>
      </w:r>
      <w:r>
        <w:rPr>
          <w:rFonts w:hint="eastAsia" w:ascii="宋体" w:hAnsi="宋体" w:cs="宋体"/>
          <w:sz w:val="24"/>
          <w:szCs w:val="24"/>
        </w:rPr>
        <w:t>投标报价有算术错误的，磋商小组按以下原则对投标报价进行修正，修正的价格经供应商书面确认后具有约束力。供应商不接受修正价格的，其投标作废标处理。</w:t>
      </w:r>
    </w:p>
    <w:p w14:paraId="0FBFB998">
      <w:pPr>
        <w:spacing w:line="480" w:lineRule="exact"/>
        <w:ind w:firstLine="480" w:firstLineChars="200"/>
        <w:rPr>
          <w:rFonts w:hint="eastAsia" w:ascii="宋体" w:hAnsi="宋体" w:cs="宋体"/>
          <w:sz w:val="24"/>
          <w:szCs w:val="24"/>
        </w:rPr>
      </w:pPr>
      <w:bookmarkStart w:id="363" w:name="_Toc844"/>
      <w:r>
        <w:rPr>
          <w:rFonts w:hint="eastAsia" w:ascii="宋体" w:hAnsi="宋体" w:cs="宋体"/>
          <w:sz w:val="24"/>
          <w:szCs w:val="24"/>
        </w:rPr>
        <w:t>（1）</w:t>
      </w:r>
      <w:r>
        <w:rPr>
          <w:rFonts w:ascii="宋体" w:hAnsi="宋体" w:cs="宋体"/>
          <w:sz w:val="24"/>
          <w:szCs w:val="24"/>
        </w:rPr>
        <w:t xml:space="preserve"> 响应文件中投标函附录</w:t>
      </w:r>
      <w:r>
        <w:rPr>
          <w:rFonts w:hint="eastAsia" w:ascii="宋体" w:hAnsi="宋体" w:cs="宋体"/>
          <w:sz w:val="24"/>
          <w:szCs w:val="24"/>
        </w:rPr>
        <w:t>（</w:t>
      </w:r>
      <w:r>
        <w:rPr>
          <w:rFonts w:ascii="宋体" w:hAnsi="宋体" w:cs="宋体"/>
          <w:sz w:val="24"/>
          <w:szCs w:val="24"/>
        </w:rPr>
        <w:t>报价表</w:t>
      </w:r>
      <w:r>
        <w:rPr>
          <w:rFonts w:hint="eastAsia" w:ascii="宋体" w:hAnsi="宋体" w:cs="宋体"/>
          <w:sz w:val="24"/>
          <w:szCs w:val="24"/>
        </w:rPr>
        <w:t>）</w:t>
      </w:r>
      <w:r>
        <w:rPr>
          <w:rFonts w:ascii="宋体" w:hAnsi="宋体" w:cs="宋体"/>
          <w:sz w:val="24"/>
          <w:szCs w:val="24"/>
        </w:rPr>
        <w:t>内容与响应文件中相应内容不一致的，以投标函附录</w:t>
      </w:r>
      <w:r>
        <w:rPr>
          <w:rFonts w:hint="eastAsia" w:ascii="宋体" w:hAnsi="宋体" w:cs="宋体"/>
          <w:sz w:val="24"/>
          <w:szCs w:val="24"/>
        </w:rPr>
        <w:t>（</w:t>
      </w:r>
      <w:r>
        <w:rPr>
          <w:rFonts w:ascii="宋体" w:hAnsi="宋体" w:cs="宋体"/>
          <w:sz w:val="24"/>
          <w:szCs w:val="24"/>
        </w:rPr>
        <w:t>报价表</w:t>
      </w:r>
      <w:r>
        <w:rPr>
          <w:rFonts w:hint="eastAsia" w:ascii="宋体" w:hAnsi="宋体" w:cs="宋体"/>
          <w:sz w:val="24"/>
          <w:szCs w:val="24"/>
        </w:rPr>
        <w:t>）</w:t>
      </w:r>
      <w:r>
        <w:rPr>
          <w:rFonts w:ascii="宋体" w:hAnsi="宋体" w:cs="宋体"/>
          <w:sz w:val="24"/>
          <w:szCs w:val="24"/>
        </w:rPr>
        <w:t xml:space="preserve">为准； </w:t>
      </w:r>
    </w:p>
    <w:p w14:paraId="493FC08E">
      <w:pPr>
        <w:spacing w:line="480" w:lineRule="exact"/>
        <w:ind w:firstLine="480" w:firstLineChars="2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 xml:space="preserve">大写金额和小写金额不一致的，以大写金额为准； </w:t>
      </w:r>
    </w:p>
    <w:p w14:paraId="2DCAD43D">
      <w:pPr>
        <w:spacing w:line="480" w:lineRule="exact"/>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 xml:space="preserve">单价金额小数点或者百分比有明显错位的，以投标函附录的总价为准，并修改单价； </w:t>
      </w:r>
    </w:p>
    <w:p w14:paraId="593CFB08">
      <w:pPr>
        <w:spacing w:line="480" w:lineRule="exact"/>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 xml:space="preserve">总价金额与按单价汇总金额不一致的，以单价金额计算结果为准； </w:t>
      </w:r>
    </w:p>
    <w:p w14:paraId="137737B4">
      <w:pPr>
        <w:spacing w:line="48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同时出现两种以上不一致的，按照前款规定的顺序修正。修正后的报价按照</w:t>
      </w:r>
      <w:r>
        <w:rPr>
          <w:rFonts w:hint="eastAsia" w:hAnsi="宋体" w:cs="宋体"/>
          <w:sz w:val="24"/>
          <w:szCs w:val="24"/>
        </w:rPr>
        <w:t>竞争性磋商文件</w:t>
      </w:r>
      <w:r>
        <w:rPr>
          <w:rFonts w:ascii="宋体" w:hAnsi="宋体" w:cs="宋体"/>
          <w:sz w:val="24"/>
          <w:szCs w:val="24"/>
        </w:rPr>
        <w:t>规定经供应商确认后产生约束力，供应商不确认的，其投标无效。</w:t>
      </w:r>
    </w:p>
    <w:p w14:paraId="5FA0A70A">
      <w:pPr>
        <w:spacing w:line="480" w:lineRule="exact"/>
        <w:rPr>
          <w:rFonts w:ascii="宋体" w:cs="宋体"/>
          <w:b/>
          <w:bCs/>
          <w:sz w:val="24"/>
          <w:szCs w:val="24"/>
        </w:rPr>
      </w:pPr>
      <w:r>
        <w:rPr>
          <w:rFonts w:ascii="宋体" w:hAnsi="宋体" w:cs="宋体"/>
          <w:b/>
          <w:bCs/>
          <w:sz w:val="24"/>
          <w:szCs w:val="24"/>
        </w:rPr>
        <w:t xml:space="preserve">3.2 </w:t>
      </w:r>
      <w:r>
        <w:rPr>
          <w:rFonts w:hint="eastAsia" w:ascii="宋体" w:hAnsi="宋体" w:cs="宋体"/>
          <w:b/>
          <w:bCs/>
          <w:sz w:val="24"/>
          <w:szCs w:val="24"/>
        </w:rPr>
        <w:t>详细评审</w:t>
      </w:r>
      <w:bookmarkEnd w:id="363"/>
    </w:p>
    <w:p w14:paraId="313522BE">
      <w:pPr>
        <w:spacing w:line="480" w:lineRule="exact"/>
        <w:rPr>
          <w:rFonts w:ascii="宋体" w:cs="宋体"/>
          <w:kern w:val="0"/>
          <w:sz w:val="24"/>
          <w:szCs w:val="24"/>
        </w:rPr>
      </w:pPr>
      <w:r>
        <w:rPr>
          <w:rFonts w:ascii="宋体" w:hAnsi="宋体" w:cs="宋体"/>
          <w:kern w:val="0"/>
          <w:sz w:val="24"/>
          <w:szCs w:val="24"/>
        </w:rPr>
        <w:t xml:space="preserve">3.2.1 </w:t>
      </w:r>
      <w:r>
        <w:rPr>
          <w:rFonts w:hint="eastAsia" w:ascii="宋体" w:hAnsi="宋体" w:cs="宋体"/>
          <w:kern w:val="0"/>
          <w:sz w:val="24"/>
          <w:szCs w:val="24"/>
        </w:rPr>
        <w:t>磋商小组按本章第</w:t>
      </w:r>
      <w:r>
        <w:rPr>
          <w:rFonts w:ascii="宋体" w:hAnsi="宋体" w:cs="宋体"/>
          <w:kern w:val="0"/>
          <w:sz w:val="24"/>
          <w:szCs w:val="24"/>
        </w:rPr>
        <w:t xml:space="preserve">2.2 </w:t>
      </w:r>
      <w:r>
        <w:rPr>
          <w:rFonts w:hint="eastAsia" w:ascii="宋体" w:hAnsi="宋体" w:cs="宋体"/>
          <w:kern w:val="0"/>
          <w:sz w:val="24"/>
          <w:szCs w:val="24"/>
        </w:rPr>
        <w:t>款规定的量化因素和分值进行打分，并计算出综合评估得分。</w:t>
      </w:r>
    </w:p>
    <w:p w14:paraId="5E82B361">
      <w:pPr>
        <w:spacing w:line="480" w:lineRule="exac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）按本章第</w:t>
      </w:r>
      <w:r>
        <w:rPr>
          <w:rFonts w:ascii="宋体" w:hAnsi="宋体" w:cs="宋体"/>
          <w:kern w:val="0"/>
          <w:sz w:val="24"/>
          <w:szCs w:val="24"/>
        </w:rPr>
        <w:t>2.2.4</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）目规定的评审因素和分值对</w:t>
      </w:r>
      <w:r>
        <w:rPr>
          <w:rFonts w:hint="eastAsia" w:ascii="宋体" w:hAnsi="宋体" w:cs="宋体"/>
          <w:b/>
          <w:bCs/>
          <w:kern w:val="0"/>
          <w:sz w:val="24"/>
          <w:szCs w:val="24"/>
          <w:u w:val="single"/>
        </w:rPr>
        <w:t>商务标</w:t>
      </w:r>
      <w:r>
        <w:rPr>
          <w:rFonts w:hint="eastAsia" w:ascii="宋体" w:hAnsi="宋体" w:cs="宋体"/>
          <w:kern w:val="0"/>
          <w:sz w:val="24"/>
          <w:szCs w:val="24"/>
          <w:u w:val="single"/>
        </w:rPr>
        <w:t>计算出</w:t>
      </w:r>
      <w:r>
        <w:rPr>
          <w:rFonts w:hint="eastAsia" w:ascii="宋体" w:hAnsi="宋体" w:cs="宋体"/>
          <w:b/>
          <w:bCs/>
          <w:kern w:val="0"/>
          <w:sz w:val="24"/>
          <w:szCs w:val="24"/>
          <w:u w:val="single"/>
        </w:rPr>
        <w:t>平均</w:t>
      </w:r>
      <w:r>
        <w:rPr>
          <w:rFonts w:hint="eastAsia" w:ascii="宋体" w:hAnsi="宋体" w:cs="宋体"/>
          <w:kern w:val="0"/>
          <w:sz w:val="24"/>
          <w:szCs w:val="24"/>
          <w:u w:val="single"/>
        </w:rPr>
        <w:t>得分</w:t>
      </w:r>
      <w:r>
        <w:rPr>
          <w:rFonts w:ascii="宋体" w:hAnsi="宋体" w:cs="宋体"/>
          <w:kern w:val="0"/>
          <w:sz w:val="24"/>
          <w:szCs w:val="24"/>
          <w:u w:val="single"/>
        </w:rPr>
        <w:t>A</w:t>
      </w:r>
      <w:r>
        <w:rPr>
          <w:rFonts w:hint="eastAsia" w:ascii="宋体" w:hAnsi="宋体" w:cs="宋体"/>
          <w:kern w:val="0"/>
          <w:sz w:val="24"/>
          <w:szCs w:val="24"/>
          <w:u w:val="single"/>
        </w:rPr>
        <w:t>；</w:t>
      </w:r>
    </w:p>
    <w:p w14:paraId="572880B4">
      <w:pPr>
        <w:spacing w:line="480" w:lineRule="exac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）按本章第</w:t>
      </w:r>
      <w:r>
        <w:rPr>
          <w:rFonts w:ascii="宋体" w:hAnsi="宋体" w:cs="宋体"/>
          <w:kern w:val="0"/>
          <w:sz w:val="24"/>
          <w:szCs w:val="24"/>
        </w:rPr>
        <w:t>2.2.4</w:t>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）目规定的评审因素和分值对</w:t>
      </w:r>
      <w:r>
        <w:rPr>
          <w:rFonts w:hint="eastAsia" w:ascii="宋体" w:hAnsi="宋体" w:cs="宋体"/>
          <w:b/>
          <w:bCs/>
          <w:kern w:val="0"/>
          <w:sz w:val="24"/>
          <w:szCs w:val="24"/>
          <w:u w:val="single"/>
        </w:rPr>
        <w:t>技术标</w:t>
      </w:r>
      <w:r>
        <w:rPr>
          <w:rFonts w:hint="eastAsia" w:ascii="宋体" w:hAnsi="宋体" w:cs="宋体"/>
          <w:kern w:val="0"/>
          <w:sz w:val="24"/>
          <w:szCs w:val="24"/>
          <w:u w:val="single"/>
        </w:rPr>
        <w:t>计算出</w:t>
      </w:r>
      <w:r>
        <w:rPr>
          <w:rFonts w:hint="eastAsia" w:ascii="宋体" w:hAnsi="宋体" w:cs="宋体"/>
          <w:b/>
          <w:bCs/>
          <w:kern w:val="0"/>
          <w:sz w:val="24"/>
          <w:szCs w:val="24"/>
          <w:u w:val="single"/>
        </w:rPr>
        <w:t>平均</w:t>
      </w:r>
      <w:r>
        <w:rPr>
          <w:rFonts w:hint="eastAsia" w:ascii="宋体" w:hAnsi="宋体" w:cs="宋体"/>
          <w:kern w:val="0"/>
          <w:sz w:val="24"/>
          <w:szCs w:val="24"/>
          <w:u w:val="single"/>
        </w:rPr>
        <w:t>得分</w:t>
      </w:r>
      <w:r>
        <w:rPr>
          <w:rFonts w:ascii="宋体" w:hAnsi="宋体" w:cs="宋体"/>
          <w:kern w:val="0"/>
          <w:sz w:val="24"/>
          <w:szCs w:val="24"/>
          <w:u w:val="single"/>
        </w:rPr>
        <w:t>B</w:t>
      </w:r>
      <w:r>
        <w:rPr>
          <w:rFonts w:hint="eastAsia" w:ascii="宋体" w:hAnsi="宋体" w:cs="宋体"/>
          <w:kern w:val="0"/>
          <w:sz w:val="24"/>
          <w:szCs w:val="24"/>
          <w:u w:val="single"/>
        </w:rPr>
        <w:t>；</w:t>
      </w:r>
    </w:p>
    <w:p w14:paraId="47DE6BE2">
      <w:pPr>
        <w:spacing w:line="480" w:lineRule="exact"/>
        <w:rPr>
          <w:rFonts w:ascii="宋体" w:cs="宋体"/>
          <w:kern w:val="0"/>
          <w:sz w:val="24"/>
          <w:szCs w:val="24"/>
          <w:u w:val="single"/>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）按本章第</w:t>
      </w:r>
      <w:r>
        <w:rPr>
          <w:rFonts w:ascii="宋体" w:hAnsi="宋体" w:cs="宋体"/>
          <w:kern w:val="0"/>
          <w:sz w:val="24"/>
          <w:szCs w:val="24"/>
        </w:rPr>
        <w:t>2.2.4</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）目规定的评审因素和分值对</w:t>
      </w:r>
      <w:r>
        <w:rPr>
          <w:rFonts w:hint="eastAsia" w:ascii="宋体" w:hAnsi="宋体" w:cs="宋体"/>
          <w:b/>
          <w:bCs/>
          <w:kern w:val="0"/>
          <w:sz w:val="24"/>
          <w:szCs w:val="24"/>
          <w:u w:val="single"/>
        </w:rPr>
        <w:t>综合标</w:t>
      </w:r>
      <w:r>
        <w:rPr>
          <w:rFonts w:hint="eastAsia" w:ascii="宋体" w:hAnsi="宋体" w:cs="宋体"/>
          <w:kern w:val="0"/>
          <w:sz w:val="24"/>
          <w:szCs w:val="24"/>
          <w:u w:val="single"/>
        </w:rPr>
        <w:t>计算出得分</w:t>
      </w:r>
      <w:r>
        <w:rPr>
          <w:rFonts w:ascii="宋体" w:hAnsi="宋体" w:cs="宋体"/>
          <w:kern w:val="0"/>
          <w:sz w:val="24"/>
          <w:szCs w:val="24"/>
          <w:u w:val="single"/>
        </w:rPr>
        <w:t>C</w:t>
      </w:r>
      <w:r>
        <w:rPr>
          <w:rFonts w:hint="eastAsia" w:ascii="宋体" w:hAnsi="宋体" w:cs="宋体"/>
          <w:kern w:val="0"/>
          <w:sz w:val="24"/>
          <w:szCs w:val="24"/>
          <w:u w:val="single"/>
        </w:rPr>
        <w:t>；</w:t>
      </w:r>
    </w:p>
    <w:p w14:paraId="3ADD858F">
      <w:pPr>
        <w:spacing w:line="480" w:lineRule="exact"/>
        <w:rPr>
          <w:rFonts w:ascii="宋体" w:cs="宋体"/>
          <w:kern w:val="0"/>
          <w:sz w:val="24"/>
          <w:szCs w:val="24"/>
        </w:rPr>
      </w:pPr>
      <w:r>
        <w:rPr>
          <w:rFonts w:ascii="宋体" w:hAnsi="宋体" w:cs="宋体"/>
          <w:kern w:val="0"/>
          <w:sz w:val="24"/>
          <w:szCs w:val="24"/>
        </w:rPr>
        <w:t xml:space="preserve">3.2.2 </w:t>
      </w:r>
      <w:r>
        <w:rPr>
          <w:rFonts w:hint="eastAsia" w:ascii="宋体" w:hAnsi="宋体" w:cs="宋体"/>
          <w:kern w:val="0"/>
          <w:sz w:val="24"/>
          <w:szCs w:val="24"/>
        </w:rPr>
        <w:t>评分分值计算保留小数点后两位，小数点后第三位“四舍五入”。</w:t>
      </w:r>
    </w:p>
    <w:p w14:paraId="5F598B3A">
      <w:pPr>
        <w:spacing w:line="480" w:lineRule="exact"/>
        <w:rPr>
          <w:rFonts w:ascii="宋体" w:cs="宋体"/>
          <w:kern w:val="0"/>
          <w:sz w:val="24"/>
          <w:szCs w:val="24"/>
        </w:rPr>
      </w:pPr>
      <w:r>
        <w:rPr>
          <w:rFonts w:ascii="宋体" w:hAnsi="宋体" w:cs="宋体"/>
          <w:kern w:val="0"/>
          <w:sz w:val="24"/>
          <w:szCs w:val="24"/>
        </w:rPr>
        <w:t>3.2.3</w:t>
      </w:r>
      <w:r>
        <w:rPr>
          <w:rFonts w:hint="eastAsia" w:ascii="宋体" w:hAnsi="宋体" w:cs="宋体"/>
          <w:b/>
          <w:bCs/>
          <w:kern w:val="0"/>
          <w:sz w:val="24"/>
          <w:szCs w:val="24"/>
          <w:u w:val="single"/>
        </w:rPr>
        <w:t>供应商得分</w:t>
      </w:r>
      <w:r>
        <w:rPr>
          <w:rFonts w:ascii="宋体" w:hAnsi="宋体" w:cs="宋体"/>
          <w:b/>
          <w:bCs/>
          <w:kern w:val="0"/>
          <w:sz w:val="24"/>
          <w:szCs w:val="24"/>
          <w:u w:val="single"/>
        </w:rPr>
        <w:t>=A+B+C</w:t>
      </w:r>
      <w:r>
        <w:rPr>
          <w:rFonts w:hint="eastAsia" w:ascii="宋体" w:hAnsi="宋体" w:cs="宋体"/>
          <w:b/>
          <w:bCs/>
          <w:kern w:val="0"/>
          <w:sz w:val="24"/>
          <w:szCs w:val="24"/>
          <w:u w:val="single"/>
        </w:rPr>
        <w:t>。</w:t>
      </w:r>
    </w:p>
    <w:p w14:paraId="093F0677">
      <w:pPr>
        <w:spacing w:line="480" w:lineRule="exact"/>
        <w:rPr>
          <w:rFonts w:ascii="宋体" w:cs="宋体"/>
          <w:b/>
          <w:bCs/>
          <w:sz w:val="24"/>
          <w:szCs w:val="24"/>
        </w:rPr>
      </w:pPr>
      <w:bookmarkStart w:id="364" w:name="_Toc389"/>
      <w:r>
        <w:rPr>
          <w:rFonts w:ascii="宋体" w:hAnsi="宋体" w:cs="宋体"/>
          <w:b/>
          <w:bCs/>
          <w:sz w:val="24"/>
          <w:szCs w:val="24"/>
        </w:rPr>
        <w:t xml:space="preserve">3.3 </w:t>
      </w:r>
      <w:r>
        <w:rPr>
          <w:rFonts w:hint="eastAsia" w:ascii="宋体" w:hAnsi="宋体" w:cs="宋体"/>
          <w:b/>
          <w:bCs/>
          <w:sz w:val="24"/>
          <w:szCs w:val="24"/>
        </w:rPr>
        <w:t>响应文件的澄清和补正</w:t>
      </w:r>
      <w:bookmarkEnd w:id="364"/>
    </w:p>
    <w:p w14:paraId="51E7C744">
      <w:pPr>
        <w:spacing w:line="480" w:lineRule="exact"/>
        <w:ind w:firstLine="480" w:firstLineChars="200"/>
        <w:rPr>
          <w:rFonts w:ascii="宋体" w:cs="宋体"/>
          <w:sz w:val="24"/>
          <w:szCs w:val="24"/>
        </w:rPr>
      </w:pPr>
      <w:r>
        <w:rPr>
          <w:rFonts w:ascii="宋体" w:hAnsi="宋体" w:cs="宋体"/>
          <w:sz w:val="24"/>
          <w:szCs w:val="24"/>
        </w:rPr>
        <w:t xml:space="preserve">3.3.1 </w:t>
      </w:r>
      <w:r>
        <w:rPr>
          <w:rFonts w:hint="eastAsia" w:ascii="宋体" w:hAnsi="宋体" w:cs="宋体"/>
          <w:sz w:val="24"/>
          <w:szCs w:val="24"/>
        </w:rPr>
        <w:t>在评标过程中，磋商小组可以书面形式要求供应商对所提交响应文件中不明确的内容进行书面澄清或说明，或者对细微偏差进行补正。磋商小组不接受供应商主动提出的澄清、说明或补正。</w:t>
      </w:r>
    </w:p>
    <w:p w14:paraId="43D452D8">
      <w:pPr>
        <w:spacing w:line="480" w:lineRule="exact"/>
        <w:ind w:firstLine="480" w:firstLineChars="200"/>
        <w:rPr>
          <w:rFonts w:ascii="宋体" w:cs="宋体"/>
          <w:sz w:val="24"/>
          <w:szCs w:val="24"/>
        </w:rPr>
      </w:pPr>
      <w:r>
        <w:rPr>
          <w:rFonts w:ascii="宋体" w:hAnsi="宋体" w:cs="宋体"/>
          <w:sz w:val="24"/>
          <w:szCs w:val="24"/>
        </w:rPr>
        <w:t xml:space="preserve">3.3.2 </w:t>
      </w:r>
      <w:r>
        <w:rPr>
          <w:rFonts w:hint="eastAsia" w:ascii="宋体" w:hAnsi="宋体" w:cs="宋体"/>
          <w:sz w:val="24"/>
          <w:szCs w:val="24"/>
        </w:rPr>
        <w:t>澄清、说明和补正不得改变响应文件的实质性内容（算术性错误修正的除外）。供应商的书面澄清、说明和补正属于响应文件的组成部分。</w:t>
      </w:r>
    </w:p>
    <w:p w14:paraId="437B0BD3">
      <w:pPr>
        <w:spacing w:line="480" w:lineRule="exact"/>
        <w:ind w:firstLine="480" w:firstLineChars="200"/>
        <w:rPr>
          <w:rFonts w:ascii="宋体" w:cs="宋体"/>
          <w:sz w:val="24"/>
          <w:szCs w:val="24"/>
        </w:rPr>
      </w:pPr>
      <w:r>
        <w:rPr>
          <w:rFonts w:ascii="宋体" w:hAnsi="宋体" w:cs="宋体"/>
          <w:sz w:val="24"/>
          <w:szCs w:val="24"/>
        </w:rPr>
        <w:t xml:space="preserve">3.3.3 </w:t>
      </w:r>
      <w:r>
        <w:rPr>
          <w:rFonts w:hint="eastAsia" w:ascii="宋体" w:hAnsi="宋体" w:cs="宋体"/>
          <w:sz w:val="24"/>
          <w:szCs w:val="24"/>
        </w:rPr>
        <w:t>磋商小组对供应商提交的澄清、说明或补正有疑问的，可以要求供应商进一步澄清、说明或补正，直至满足磋商小组的要求。</w:t>
      </w:r>
    </w:p>
    <w:p w14:paraId="628171F2">
      <w:pPr>
        <w:spacing w:line="480" w:lineRule="exact"/>
        <w:rPr>
          <w:rFonts w:ascii="宋体" w:cs="宋体"/>
          <w:b/>
          <w:bCs/>
          <w:sz w:val="24"/>
          <w:szCs w:val="24"/>
        </w:rPr>
      </w:pPr>
      <w:bookmarkStart w:id="365" w:name="_Toc796"/>
      <w:r>
        <w:rPr>
          <w:rFonts w:ascii="宋体" w:hAnsi="宋体" w:cs="宋体"/>
          <w:b/>
          <w:bCs/>
          <w:sz w:val="24"/>
          <w:szCs w:val="24"/>
        </w:rPr>
        <w:t xml:space="preserve">3.4 </w:t>
      </w:r>
      <w:r>
        <w:rPr>
          <w:rFonts w:hint="eastAsia" w:ascii="宋体" w:hAnsi="宋体" w:cs="宋体"/>
          <w:b/>
          <w:bCs/>
          <w:sz w:val="24"/>
          <w:szCs w:val="24"/>
        </w:rPr>
        <w:t>评标结果</w:t>
      </w:r>
      <w:bookmarkEnd w:id="365"/>
    </w:p>
    <w:p w14:paraId="1AFD3805">
      <w:pPr>
        <w:spacing w:line="480" w:lineRule="exact"/>
        <w:ind w:firstLine="480" w:firstLineChars="200"/>
        <w:rPr>
          <w:rFonts w:ascii="宋体" w:cs="宋体"/>
          <w:sz w:val="24"/>
          <w:szCs w:val="24"/>
        </w:rPr>
      </w:pPr>
      <w:r>
        <w:rPr>
          <w:rFonts w:ascii="宋体" w:hAnsi="宋体" w:cs="宋体"/>
          <w:sz w:val="24"/>
          <w:szCs w:val="24"/>
        </w:rPr>
        <w:t xml:space="preserve">3.4.1 </w:t>
      </w:r>
      <w:r>
        <w:rPr>
          <w:rFonts w:hint="eastAsia" w:ascii="宋体" w:hAnsi="宋体" w:cs="宋体"/>
          <w:sz w:val="24"/>
          <w:szCs w:val="24"/>
        </w:rPr>
        <w:t>除第二章“供应商须知”前附表授权直接确定中标人外，磋商小组按照得分高到低的顺序推荐中标候选人。</w:t>
      </w:r>
    </w:p>
    <w:p w14:paraId="7F5AC8E4">
      <w:pPr>
        <w:spacing w:line="480" w:lineRule="exact"/>
        <w:ind w:firstLine="480" w:firstLineChars="200"/>
        <w:rPr>
          <w:rFonts w:hint="eastAsia" w:ascii="宋体" w:hAnsi="宋体" w:cs="宋体"/>
          <w:sz w:val="24"/>
          <w:szCs w:val="24"/>
        </w:rPr>
      </w:pPr>
      <w:r>
        <w:rPr>
          <w:rFonts w:ascii="宋体" w:hAnsi="宋体" w:cs="宋体"/>
          <w:sz w:val="24"/>
          <w:szCs w:val="24"/>
        </w:rPr>
        <w:t xml:space="preserve">3.4.2 </w:t>
      </w:r>
      <w:r>
        <w:rPr>
          <w:rFonts w:hint="eastAsia" w:ascii="宋体" w:hAnsi="宋体" w:cs="宋体"/>
          <w:sz w:val="24"/>
          <w:szCs w:val="24"/>
        </w:rPr>
        <w:t>磋商小组完成评标后，由应当向采购人提交书面评标报告。</w:t>
      </w:r>
    </w:p>
    <w:p w14:paraId="58D9D20E">
      <w:pPr>
        <w:pStyle w:val="14"/>
        <w:spacing w:line="360" w:lineRule="auto"/>
        <w:ind w:firstLine="480" w:firstLineChars="200"/>
        <w:contextualSpacing/>
        <w:rPr>
          <w:rFonts w:hint="eastAsia" w:hAnsi="宋体" w:cs="宋体"/>
          <w:sz w:val="24"/>
          <w:szCs w:val="24"/>
          <w:lang w:val="zh-CN"/>
        </w:rPr>
      </w:pPr>
      <w:r>
        <w:rPr>
          <w:rFonts w:hint="eastAsia" w:hAnsi="宋体" w:cs="宋体"/>
          <w:sz w:val="24"/>
          <w:szCs w:val="24"/>
        </w:rPr>
        <w:t xml:space="preserve">3.4.3 </w:t>
      </w:r>
      <w:r>
        <w:rPr>
          <w:rFonts w:hint="eastAsia" w:hAnsi="宋体" w:cs="宋体"/>
          <w:sz w:val="24"/>
          <w:szCs w:val="24"/>
          <w:lang w:val="zh-CN"/>
        </w:rPr>
        <w:t>评标结果汇总完成后，除下列情形外，任何人不得修改评标结果</w:t>
      </w:r>
    </w:p>
    <w:p w14:paraId="375C4D69">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1） 分值汇总计算错误的。</w:t>
      </w:r>
    </w:p>
    <w:p w14:paraId="6B128551">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2） 分项评分超出评分标准范围的。</w:t>
      </w:r>
    </w:p>
    <w:p w14:paraId="40915BE7">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3） 磋商小组成员对客观评审因素评分不一致的。</w:t>
      </w:r>
    </w:p>
    <w:p w14:paraId="237F80EA">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4） 经磋商小组认定评分畸高、畸低的。</w:t>
      </w:r>
    </w:p>
    <w:p w14:paraId="6D815C3C">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16BC51BA">
      <w:pPr>
        <w:spacing w:line="480" w:lineRule="exact"/>
        <w:ind w:firstLine="480" w:firstLineChars="200"/>
        <w:rPr>
          <w:rFonts w:hint="eastAsia" w:ascii="宋体" w:hAnsi="宋体" w:cs="宋体"/>
          <w:sz w:val="24"/>
          <w:szCs w:val="24"/>
          <w:lang w:val="zh-CN"/>
        </w:rPr>
      </w:pPr>
      <w:r>
        <w:rPr>
          <w:rFonts w:hint="eastAsia" w:ascii="宋体" w:hAnsi="宋体" w:cs="宋体"/>
          <w:sz w:val="24"/>
          <w:szCs w:val="24"/>
          <w:lang w:val="zh-CN"/>
        </w:rPr>
        <w:t>供应商对</w:t>
      </w:r>
      <w:r>
        <w:rPr>
          <w:rFonts w:hint="eastAsia" w:ascii="宋体" w:hAnsi="宋体" w:cs="宋体"/>
          <w:sz w:val="24"/>
          <w:szCs w:val="24"/>
        </w:rPr>
        <w:t>3.4.3条</w:t>
      </w:r>
      <w:r>
        <w:rPr>
          <w:rFonts w:hint="eastAsia" w:ascii="宋体" w:hAnsi="宋体" w:cs="宋体"/>
          <w:sz w:val="24"/>
          <w:szCs w:val="24"/>
          <w:lang w:val="zh-CN"/>
        </w:rPr>
        <w:t>第一款情形提出质疑的，采购人或者采购代理机构可以组织原磋商小组进行重新评审，重新评审改变评标结果的，应当书面报告本级财政部门。</w:t>
      </w:r>
    </w:p>
    <w:p w14:paraId="5197FDA6">
      <w:pPr>
        <w:pStyle w:val="14"/>
        <w:spacing w:line="360" w:lineRule="auto"/>
        <w:ind w:firstLine="480" w:firstLineChars="200"/>
        <w:contextualSpacing/>
        <w:rPr>
          <w:rFonts w:hint="eastAsia" w:hAnsi="宋体" w:cs="宋体"/>
          <w:bCs/>
          <w:sz w:val="24"/>
          <w:szCs w:val="24"/>
          <w:lang w:val="zh-CN"/>
        </w:rPr>
      </w:pPr>
      <w:r>
        <w:rPr>
          <w:rFonts w:hint="eastAsia" w:hAnsi="宋体" w:cs="宋体"/>
          <w:bCs/>
          <w:sz w:val="24"/>
          <w:szCs w:val="24"/>
        </w:rPr>
        <w:t>3.4.4</w:t>
      </w:r>
      <w:r>
        <w:rPr>
          <w:rFonts w:hint="eastAsia" w:hAnsi="宋体" w:cs="宋体"/>
          <w:bCs/>
          <w:sz w:val="24"/>
          <w:szCs w:val="24"/>
          <w:lang w:val="zh-CN"/>
        </w:rPr>
        <w:t>磋商小组争议处理</w:t>
      </w:r>
    </w:p>
    <w:p w14:paraId="4EEAA22B">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磋商小组成员对需要共同认定的事项存在争议的，应当按照少数服从多数的原则做出结论。持不同意见的磋商小组成员应当在评标报告上签署不同意见及理由，否则视为同意评标报告。</w:t>
      </w:r>
    </w:p>
    <w:p w14:paraId="1A5C35CC">
      <w:pPr>
        <w:pStyle w:val="14"/>
        <w:spacing w:line="360" w:lineRule="auto"/>
        <w:ind w:firstLine="480" w:firstLineChars="200"/>
        <w:contextualSpacing/>
        <w:rPr>
          <w:rFonts w:hint="eastAsia" w:hAnsi="宋体" w:cs="宋体"/>
          <w:bCs/>
          <w:sz w:val="24"/>
          <w:szCs w:val="24"/>
          <w:lang w:val="zh-CN"/>
        </w:rPr>
      </w:pPr>
      <w:r>
        <w:rPr>
          <w:rFonts w:hint="eastAsia" w:hAnsi="宋体" w:cs="宋体"/>
          <w:bCs/>
          <w:sz w:val="24"/>
          <w:szCs w:val="24"/>
        </w:rPr>
        <w:t>3.4.5</w:t>
      </w:r>
      <w:r>
        <w:rPr>
          <w:rFonts w:hint="eastAsia" w:hAnsi="宋体" w:cs="宋体"/>
          <w:bCs/>
          <w:sz w:val="24"/>
          <w:szCs w:val="24"/>
          <w:lang w:val="zh-CN"/>
        </w:rPr>
        <w:t>确定成交候选人名单。</w:t>
      </w:r>
    </w:p>
    <w:p w14:paraId="5E889558">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磋商小组对满足</w:t>
      </w:r>
      <w:r>
        <w:rPr>
          <w:rFonts w:hint="eastAsia" w:hAnsi="宋体" w:cs="宋体"/>
          <w:sz w:val="24"/>
          <w:szCs w:val="24"/>
        </w:rPr>
        <w:t>竞争性磋商文件</w:t>
      </w:r>
      <w:r>
        <w:rPr>
          <w:rFonts w:hint="eastAsia" w:ascii="宋体" w:hAnsi="宋体" w:cs="宋体"/>
          <w:kern w:val="0"/>
          <w:sz w:val="24"/>
          <w:szCs w:val="24"/>
        </w:rPr>
        <w:t>实质性要求的响应文件，按照本章规定的评分量化表进行打分，并按得分由高到低顺序推荐3名成交候选人。如果供应商综合得分相同，按下列顺序排列以确定将被推荐为合格的成交候选人：</w:t>
      </w:r>
    </w:p>
    <w:p w14:paraId="38D640B0">
      <w:pPr>
        <w:autoSpaceDE w:val="0"/>
        <w:autoSpaceDN w:val="0"/>
        <w:adjustRightInd w:val="0"/>
        <w:spacing w:line="360" w:lineRule="auto"/>
        <w:ind w:firstLine="616" w:firstLineChars="257"/>
        <w:jc w:val="left"/>
        <w:rPr>
          <w:rFonts w:hint="eastAsia" w:ascii="宋体" w:hAnsi="宋体" w:cs="宋体"/>
          <w:kern w:val="0"/>
          <w:sz w:val="24"/>
          <w:szCs w:val="24"/>
        </w:rPr>
      </w:pPr>
      <w:r>
        <w:rPr>
          <w:rFonts w:hint="eastAsia" w:ascii="宋体" w:hAnsi="宋体" w:cs="宋体"/>
          <w:kern w:val="0"/>
          <w:sz w:val="24"/>
          <w:szCs w:val="24"/>
        </w:rPr>
        <w:t>（1）投标总报价低的；（2）技术得分高的；（3）售后服务承诺优的。</w:t>
      </w:r>
    </w:p>
    <w:p w14:paraId="0E7C731C">
      <w:pPr>
        <w:tabs>
          <w:tab w:val="left" w:pos="1260"/>
        </w:tabs>
        <w:autoSpaceDE w:val="0"/>
        <w:autoSpaceDN w:val="0"/>
        <w:spacing w:line="360" w:lineRule="auto"/>
        <w:ind w:firstLine="480" w:firstLineChars="200"/>
        <w:contextualSpacing/>
        <w:rPr>
          <w:rFonts w:hint="eastAsia" w:ascii="宋体" w:hAnsi="宋体" w:cs="宋体"/>
          <w:sz w:val="24"/>
          <w:szCs w:val="24"/>
          <w:lang w:val="zh-CN"/>
        </w:rPr>
      </w:pPr>
    </w:p>
    <w:p w14:paraId="5758C479">
      <w:pPr>
        <w:spacing w:line="480" w:lineRule="exact"/>
        <w:ind w:firstLine="480" w:firstLineChars="200"/>
        <w:rPr>
          <w:rFonts w:hint="eastAsia" w:ascii="宋体" w:hAnsi="宋体" w:cs="宋体"/>
          <w:sz w:val="24"/>
          <w:szCs w:val="24"/>
        </w:rPr>
      </w:pPr>
    </w:p>
    <w:p w14:paraId="037644DB">
      <w:bookmarkStart w:id="366" w:name="_Toc304463251"/>
      <w:bookmarkEnd w:id="366"/>
      <w:bookmarkStart w:id="367" w:name="_Toc18503"/>
      <w:bookmarkStart w:id="368" w:name="_Toc27257_WPSOffice_Level1"/>
      <w:bookmarkStart w:id="369" w:name="_Toc5273"/>
      <w:bookmarkStart w:id="370" w:name="_Toc23580_WPSOffice_Level1"/>
    </w:p>
    <w:p w14:paraId="6B3C3270">
      <w:pPr>
        <w:pStyle w:val="2"/>
        <w:spacing w:line="500" w:lineRule="exact"/>
        <w:rPr>
          <w:rFonts w:cs="宋体"/>
          <w:sz w:val="40"/>
          <w:szCs w:val="40"/>
        </w:rPr>
      </w:pPr>
      <w:r>
        <w:rPr>
          <w:rFonts w:hint="eastAsia" w:cs="宋体"/>
          <w:sz w:val="40"/>
          <w:szCs w:val="40"/>
        </w:rPr>
        <w:br w:type="page"/>
      </w:r>
      <w:bookmarkStart w:id="371" w:name="_Toc152656727"/>
      <w:r>
        <w:rPr>
          <w:rFonts w:hint="eastAsia" w:cs="宋体"/>
          <w:sz w:val="40"/>
          <w:szCs w:val="40"/>
        </w:rPr>
        <w:t>第四章 合同条款及格式</w:t>
      </w:r>
      <w:bookmarkEnd w:id="367"/>
      <w:bookmarkEnd w:id="368"/>
      <w:bookmarkEnd w:id="369"/>
      <w:bookmarkEnd w:id="370"/>
      <w:bookmarkEnd w:id="371"/>
    </w:p>
    <w:p w14:paraId="7F67EB52">
      <w:pPr>
        <w:jc w:val="center"/>
        <w:rPr>
          <w:rFonts w:hint="eastAsia" w:asciiTheme="minorEastAsia" w:hAnsiTheme="minorEastAsia" w:eastAsiaTheme="minorEastAsia"/>
          <w:sz w:val="24"/>
          <w:szCs w:val="24"/>
        </w:rPr>
      </w:pPr>
      <w:bookmarkStart w:id="372" w:name="_Toc30064"/>
      <w:bookmarkEnd w:id="372"/>
      <w:bookmarkStart w:id="373" w:name="_Toc24594_WPSOffice_Level1"/>
      <w:bookmarkStart w:id="374" w:name="_Toc230"/>
      <w:bookmarkStart w:id="375" w:name="_Toc15960_WPSOffice_Level1"/>
      <w:r>
        <w:rPr>
          <w:rFonts w:hint="eastAsia" w:ascii="宋体" w:hAnsi="宋体" w:cs="宋体"/>
          <w:b/>
          <w:bCs/>
          <w:kern w:val="0"/>
        </w:rPr>
        <w:t>（本格式仅供参考，以双方最终约定为准）</w:t>
      </w:r>
    </w:p>
    <w:p w14:paraId="50BB93B6">
      <w:pPr>
        <w:rPr>
          <w:rFonts w:hint="eastAsia" w:asciiTheme="minorEastAsia" w:hAnsiTheme="minorEastAsia" w:eastAsiaTheme="minorEastAsia"/>
          <w:sz w:val="24"/>
          <w:szCs w:val="24"/>
        </w:rPr>
      </w:pPr>
    </w:p>
    <w:p w14:paraId="471E8EC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合同编号：</w:t>
      </w:r>
    </w:p>
    <w:p w14:paraId="7A572939">
      <w:pPr>
        <w:rPr>
          <w:rFonts w:hint="eastAsia" w:asciiTheme="minorEastAsia" w:hAnsiTheme="minorEastAsia" w:eastAsiaTheme="minorEastAsia"/>
          <w:sz w:val="24"/>
          <w:szCs w:val="24"/>
        </w:rPr>
      </w:pPr>
    </w:p>
    <w:p w14:paraId="7CD568DD">
      <w:pPr>
        <w:spacing w:before="113"/>
        <w:ind w:firstLine="560"/>
        <w:jc w:val="center"/>
        <w:rPr>
          <w:rFonts w:hint="eastAsia" w:asciiTheme="minorEastAsia" w:hAnsiTheme="minorEastAsia" w:eastAsiaTheme="minorEastAsia"/>
          <w:sz w:val="24"/>
          <w:szCs w:val="24"/>
        </w:rPr>
      </w:pPr>
    </w:p>
    <w:p w14:paraId="2224DB8D">
      <w:pPr>
        <w:spacing w:before="113"/>
        <w:ind w:firstLine="560"/>
        <w:jc w:val="center"/>
        <w:rPr>
          <w:rFonts w:hint="eastAsia" w:asciiTheme="minorEastAsia" w:hAnsiTheme="minorEastAsia" w:eastAsiaTheme="minorEastAsia"/>
          <w:sz w:val="24"/>
          <w:szCs w:val="24"/>
        </w:rPr>
      </w:pPr>
    </w:p>
    <w:p w14:paraId="7B076E09">
      <w:pPr>
        <w:spacing w:before="113"/>
        <w:jc w:val="center"/>
        <w:rPr>
          <w:rFonts w:hint="eastAsia" w:asciiTheme="minorEastAsia" w:hAnsiTheme="minorEastAsia" w:eastAsiaTheme="minorEastAsia"/>
          <w:sz w:val="72"/>
          <w:szCs w:val="24"/>
        </w:rPr>
      </w:pPr>
      <w:r>
        <w:rPr>
          <w:rFonts w:hint="eastAsia" w:asciiTheme="minorEastAsia" w:hAnsiTheme="minorEastAsia" w:eastAsiaTheme="minorEastAsia"/>
          <w:sz w:val="72"/>
          <w:szCs w:val="24"/>
        </w:rPr>
        <w:t>政府采购合同</w:t>
      </w:r>
    </w:p>
    <w:p w14:paraId="671549DA">
      <w:pPr>
        <w:spacing w:before="113"/>
        <w:ind w:firstLine="880"/>
        <w:rPr>
          <w:rFonts w:hint="eastAsia" w:asciiTheme="minorEastAsia" w:hAnsiTheme="minorEastAsia" w:eastAsiaTheme="minorEastAsia"/>
          <w:sz w:val="24"/>
          <w:szCs w:val="24"/>
        </w:rPr>
      </w:pPr>
    </w:p>
    <w:p w14:paraId="36BF1054">
      <w:pPr>
        <w:spacing w:before="113"/>
        <w:ind w:firstLine="880"/>
        <w:rPr>
          <w:rFonts w:hint="eastAsia" w:asciiTheme="minorEastAsia" w:hAnsiTheme="minorEastAsia" w:eastAsiaTheme="minorEastAsia"/>
          <w:sz w:val="24"/>
          <w:szCs w:val="24"/>
        </w:rPr>
      </w:pPr>
    </w:p>
    <w:p w14:paraId="5AE24214">
      <w:pPr>
        <w:spacing w:before="113"/>
        <w:ind w:firstLine="880"/>
        <w:rPr>
          <w:rFonts w:hint="eastAsia" w:asciiTheme="minorEastAsia" w:hAnsiTheme="minorEastAsia" w:eastAsiaTheme="minorEastAsia"/>
          <w:sz w:val="24"/>
          <w:szCs w:val="24"/>
        </w:rPr>
      </w:pPr>
    </w:p>
    <w:p w14:paraId="350DD1C2">
      <w:pPr>
        <w:spacing w:before="113"/>
        <w:ind w:firstLine="880"/>
        <w:rPr>
          <w:rFonts w:hint="eastAsia" w:asciiTheme="minorEastAsia" w:hAnsiTheme="minorEastAsia" w:eastAsiaTheme="minorEastAsia"/>
          <w:sz w:val="24"/>
          <w:szCs w:val="24"/>
        </w:rPr>
      </w:pPr>
    </w:p>
    <w:p w14:paraId="6E34C6CE">
      <w:pPr>
        <w:spacing w:line="800" w:lineRule="exact"/>
        <w:ind w:firstLine="964" w:firstLineChars="40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买方：</w:t>
      </w:r>
      <w:r>
        <w:rPr>
          <w:rFonts w:hint="eastAsia" w:cs="仿宋_GB2312" w:asciiTheme="minorEastAsia" w:hAnsiTheme="minorEastAsia" w:eastAsiaTheme="minorEastAsia"/>
          <w:b/>
          <w:sz w:val="24"/>
          <w:szCs w:val="24"/>
          <w:u w:val="single"/>
        </w:rPr>
        <w:t xml:space="preserve">                          </w:t>
      </w:r>
      <w:r>
        <w:rPr>
          <w:rFonts w:hint="eastAsia" w:cs="仿宋_GB2312" w:asciiTheme="minorEastAsia" w:hAnsiTheme="minorEastAsia" w:eastAsiaTheme="minorEastAsia"/>
          <w:b/>
          <w:sz w:val="24"/>
          <w:szCs w:val="24"/>
        </w:rPr>
        <w:t xml:space="preserve"> </w:t>
      </w:r>
    </w:p>
    <w:p w14:paraId="79BBCA0A">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 xml:space="preserve">住址: </w:t>
      </w:r>
      <w:r>
        <w:rPr>
          <w:rFonts w:hint="eastAsia" w:cs="仿宋_GB2312" w:asciiTheme="minorEastAsia" w:hAnsiTheme="minorEastAsia" w:eastAsiaTheme="minorEastAsia"/>
          <w:b/>
          <w:sz w:val="24"/>
          <w:szCs w:val="24"/>
          <w:u w:val="single"/>
        </w:rPr>
        <w:t xml:space="preserve">                          </w:t>
      </w:r>
    </w:p>
    <w:p w14:paraId="3442CF8E">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法定代表人：</w:t>
      </w:r>
      <w:r>
        <w:rPr>
          <w:rFonts w:hint="eastAsia" w:cs="仿宋_GB2312" w:asciiTheme="minorEastAsia" w:hAnsiTheme="minorEastAsia" w:eastAsiaTheme="minorEastAsia"/>
          <w:b/>
          <w:sz w:val="24"/>
          <w:szCs w:val="24"/>
          <w:u w:val="single"/>
        </w:rPr>
        <w:t xml:space="preserve">                    </w:t>
      </w:r>
    </w:p>
    <w:p w14:paraId="0221400C">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统一社会信用代码：</w:t>
      </w:r>
      <w:r>
        <w:rPr>
          <w:rFonts w:hint="eastAsia" w:cs="仿宋_GB2312" w:asciiTheme="minorEastAsia" w:hAnsiTheme="minorEastAsia" w:eastAsiaTheme="minorEastAsia"/>
          <w:b/>
          <w:sz w:val="24"/>
          <w:szCs w:val="24"/>
          <w:u w:val="single"/>
        </w:rPr>
        <w:t xml:space="preserve">              </w:t>
      </w:r>
    </w:p>
    <w:p w14:paraId="50A2CE72">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卖方：</w:t>
      </w:r>
      <w:r>
        <w:rPr>
          <w:rFonts w:hint="eastAsia" w:cs="仿宋_GB2312" w:asciiTheme="minorEastAsia" w:hAnsiTheme="minorEastAsia" w:eastAsiaTheme="minorEastAsia"/>
          <w:b/>
          <w:sz w:val="24"/>
          <w:szCs w:val="24"/>
          <w:u w:val="single"/>
        </w:rPr>
        <w:t xml:space="preserve">                          </w:t>
      </w:r>
    </w:p>
    <w:p w14:paraId="10D6CD33">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 xml:space="preserve">住址: </w:t>
      </w:r>
      <w:r>
        <w:rPr>
          <w:rFonts w:hint="eastAsia" w:cs="仿宋_GB2312" w:asciiTheme="minorEastAsia" w:hAnsiTheme="minorEastAsia" w:eastAsiaTheme="minorEastAsia"/>
          <w:b/>
          <w:sz w:val="24"/>
          <w:szCs w:val="24"/>
          <w:u w:val="single"/>
        </w:rPr>
        <w:t xml:space="preserve">                          </w:t>
      </w:r>
    </w:p>
    <w:p w14:paraId="1B8AE995">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法定代表人：</w:t>
      </w:r>
      <w:r>
        <w:rPr>
          <w:rFonts w:hint="eastAsia" w:cs="仿宋_GB2312" w:asciiTheme="minorEastAsia" w:hAnsiTheme="minorEastAsia" w:eastAsiaTheme="minorEastAsia"/>
          <w:b/>
          <w:sz w:val="24"/>
          <w:szCs w:val="24"/>
          <w:u w:val="single"/>
        </w:rPr>
        <w:t xml:space="preserve">                    </w:t>
      </w:r>
    </w:p>
    <w:p w14:paraId="3B2FBA9E">
      <w:pPr>
        <w:spacing w:line="800" w:lineRule="exact"/>
        <w:ind w:firstLine="964" w:firstLineChars="400"/>
        <w:rPr>
          <w:rFonts w:hint="eastAsia" w:cs="仿宋_GB2312" w:asciiTheme="minorEastAsia" w:hAnsiTheme="minorEastAsia" w:eastAsiaTheme="minorEastAsia"/>
          <w:b/>
          <w:sz w:val="24"/>
          <w:szCs w:val="24"/>
          <w:u w:val="single"/>
        </w:rPr>
      </w:pPr>
      <w:r>
        <w:rPr>
          <w:rFonts w:hint="eastAsia" w:cs="仿宋_GB2312" w:asciiTheme="minorEastAsia" w:hAnsiTheme="minorEastAsia" w:eastAsiaTheme="minorEastAsia"/>
          <w:b/>
          <w:sz w:val="24"/>
          <w:szCs w:val="24"/>
        </w:rPr>
        <w:t>统一社会信用代码：</w:t>
      </w:r>
      <w:r>
        <w:rPr>
          <w:rFonts w:hint="eastAsia" w:cs="仿宋_GB2312" w:asciiTheme="minorEastAsia" w:hAnsiTheme="minorEastAsia" w:eastAsiaTheme="minorEastAsia"/>
          <w:b/>
          <w:sz w:val="24"/>
          <w:szCs w:val="24"/>
          <w:u w:val="single"/>
        </w:rPr>
        <w:t xml:space="preserve">              </w:t>
      </w:r>
    </w:p>
    <w:p w14:paraId="31170FCC">
      <w:pPr>
        <w:spacing w:line="640" w:lineRule="exact"/>
        <w:ind w:firstLine="72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p>
    <w:p w14:paraId="5CC5DB20">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(买方)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(项目名称)中所需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(货物名称)经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(采购人)以</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号招标文件在国内</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（公开/邀请）招标。经评标委员会评定</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卖方)为中标人。为进一步明确双方的责任，确保合同的顺利履行，根据《中华人民共和国政府采购法》、《中华人民共和国民法典》及有关法律规定，遵循平等、自愿、公平和诚实信用的原则，买卖双方协商一致同意按如下条款签订本合同：　</w:t>
      </w:r>
    </w:p>
    <w:p w14:paraId="2D74488C">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一、定义</w:t>
      </w:r>
    </w:p>
    <w:p w14:paraId="610FE83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本合同中的下列术语应解释为：</w:t>
      </w:r>
    </w:p>
    <w:p w14:paraId="3A4D7401">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1、“合同”系指买卖双方签署的、合同格式中载明的买卖双方所达成的协议，包括所有的附件、附录和构成合同的其它文件。</w:t>
      </w:r>
    </w:p>
    <w:p w14:paraId="48683044">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2、“合同价”系指根据合同约定，卖方在完全履行合</w:t>
      </w:r>
    </w:p>
    <w:p w14:paraId="60107BB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同义务后买方应付给卖方的价格。</w:t>
      </w:r>
    </w:p>
    <w:p w14:paraId="7367F61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3、“货物”系指卖方根据合同约定须向买方提供的一</w:t>
      </w:r>
    </w:p>
    <w:p w14:paraId="7659014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切物品、设备、机械、仪表、备件，包括工具、手册等其它相关资料。“服务”系指根据合同约定卖方承担与服务有关的辅助服务，如运输、保险及安装、调试、提供技术援助、培训和其他类似的服务。</w:t>
      </w:r>
    </w:p>
    <w:p w14:paraId="4F923BA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4、“买方”系指与中标人签属服务合同的单位（含最终用户）。</w:t>
      </w:r>
    </w:p>
    <w:p w14:paraId="38069D07">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5、“卖方”系指根据合同约定提供货物及相关服务的</w:t>
      </w:r>
    </w:p>
    <w:p w14:paraId="70C2F3F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中标人。</w:t>
      </w:r>
    </w:p>
    <w:p w14:paraId="0215AC6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6、“现场”系指合同约定货物将要运至和安装的地点。</w:t>
      </w:r>
    </w:p>
    <w:p w14:paraId="1483163A">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7、“验收”系指合同双方依据强制性的国家技术质量</w:t>
      </w:r>
    </w:p>
    <w:p w14:paraId="03F874C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规范和合同约定，确认合同项下的货物符合合同规定的活动。</w:t>
      </w:r>
    </w:p>
    <w:p w14:paraId="6DA3FE1B">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二、合同文件</w:t>
      </w:r>
    </w:p>
    <w:p w14:paraId="4758448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下列文件构成本合同的组成部分，应该认为是一个整体，彼此相互解释，相互补充。组成合同的多个文件的优先支配地位的次序如下：</w:t>
      </w:r>
    </w:p>
    <w:p w14:paraId="2049A61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1、本合同书；　</w:t>
      </w:r>
    </w:p>
    <w:p w14:paraId="447693C8">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2、中标通知书；</w:t>
      </w:r>
      <w:r>
        <w:rPr>
          <w:rFonts w:hint="eastAsia" w:asciiTheme="minorEastAsia" w:hAnsiTheme="minorEastAsia" w:eastAsiaTheme="minorEastAsia"/>
          <w:sz w:val="24"/>
          <w:szCs w:val="24"/>
        </w:rPr>
        <w:tab/>
      </w:r>
    </w:p>
    <w:p w14:paraId="1410330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3、采购文件及答疑、更正公告;</w:t>
      </w:r>
    </w:p>
    <w:p w14:paraId="4C8359E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4、采购文件标准文本中的“合同条款”；</w:t>
      </w:r>
    </w:p>
    <w:p w14:paraId="661DE1F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5、卖方提交的投标文件及书面承诺函；</w:t>
      </w:r>
    </w:p>
    <w:p w14:paraId="2373A1A5">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6、其他合同文件。</w:t>
      </w:r>
    </w:p>
    <w:p w14:paraId="260CFEA6">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三、货物和数量（可另附具体清单）</w:t>
      </w:r>
    </w:p>
    <w:p w14:paraId="5B91F9A0">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本合同货物：</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w:t>
      </w:r>
    </w:p>
    <w:p w14:paraId="0A22485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数量：</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w:t>
      </w:r>
    </w:p>
    <w:p w14:paraId="603EFE6F">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四、合同总价</w:t>
      </w:r>
    </w:p>
    <w:p w14:paraId="6BB3E2A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本合同总价为：人民币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（大写）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6F0C1EC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分项价格：</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w:t>
      </w:r>
    </w:p>
    <w:p w14:paraId="3F068666">
      <w:pPr>
        <w:spacing w:line="560" w:lineRule="exact"/>
        <w:ind w:firstLine="480" w:firstLineChars="200"/>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付款方式</w:t>
      </w:r>
    </w:p>
    <w:p w14:paraId="785ECE7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详询采购人，已签订合同为准。</w:t>
      </w:r>
    </w:p>
    <w:p w14:paraId="6824B700">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六、本合同货物的交货时间及交货地点</w:t>
      </w:r>
    </w:p>
    <w:p w14:paraId="638D655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w:t>
      </w:r>
    </w:p>
    <w:p w14:paraId="4274F15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　　　　　　　　</w:t>
      </w:r>
    </w:p>
    <w:p w14:paraId="1B5AE4A2">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七、技术规范</w:t>
      </w:r>
    </w:p>
    <w:p w14:paraId="0901C86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提交货物的技术规范应与招标文件规定的技术规范和技术规范附件(如果有的话)相一致。若技术规范中无相应说明，则以国家有关部门最新颁布的相应标准及规范为准。</w:t>
      </w:r>
    </w:p>
    <w:p w14:paraId="24722868">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八、知识产权</w:t>
      </w:r>
    </w:p>
    <w:p w14:paraId="4A84E377">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7172338">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九、包装要求</w:t>
      </w:r>
    </w:p>
    <w:p w14:paraId="7DAF171F">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117032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2、每件包装箱内应附一份详细装箱单和质量合格证。</w:t>
      </w:r>
    </w:p>
    <w:p w14:paraId="2AE12253">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十、装运要求</w:t>
      </w:r>
    </w:p>
    <w:p w14:paraId="19EE893F">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6F13E71D">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十一、交货方式</w:t>
      </w:r>
    </w:p>
    <w:p w14:paraId="69962A5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1、现场交货：卖方负责办理运输和保险，将货物运抵现场。有关运输和保险的一切费用由卖方承担。所有货物运抵现场的日期为交货日期。</w:t>
      </w:r>
    </w:p>
    <w:p w14:paraId="40E3072C">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2、卖方应在合同规定的交货期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以前以电报、传真或挂号信形式将详细交货清单包合同号、货物名称、规格、数量、包装箱件数和每个包装箱的尺寸(长×宽×高)、总毛重、总体积(立方米)和备妥交货日期以及对货物在运输和仓储的特殊要求和注意事项书面通知买方。</w:t>
      </w:r>
    </w:p>
    <w:p w14:paraId="60970C55">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3、在现场交货条件下，卖方装运的货物不应超过合同规定的数量或重量。否则，卖方应对超运部分引起的一切后果负责。</w:t>
      </w:r>
    </w:p>
    <w:p w14:paraId="1DC1018E">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十二、技术资料</w:t>
      </w:r>
    </w:p>
    <w:p w14:paraId="106574EA">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1、合同项下技术资料(除合同特殊条款规定外)将以下列方式交付：</w:t>
      </w:r>
    </w:p>
    <w:p w14:paraId="1F42DDB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合同生效后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天之内，卖方应将每台设备和仪器的中文技术资料一套，如目录索引、图纸、操作手册、使用指南、维修指南和／或服务手册和示意图寄给买方。</w:t>
      </w:r>
    </w:p>
    <w:p w14:paraId="633FC157">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2、另外一套完整的上述资料应包装好随同每批货物一起发运。</w:t>
      </w:r>
    </w:p>
    <w:p w14:paraId="1FE911F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3、如果买方确认卖方提供的技术资料不完整或在运输过程中丢失，卖方将在收到买方通知后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天内将这些资料免费寄给买方。</w:t>
      </w:r>
    </w:p>
    <w:p w14:paraId="4B6388D3">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十三、质量保证</w:t>
      </w:r>
    </w:p>
    <w:p w14:paraId="4484DACC">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卖方须保证货物是全新、未使用过的。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37CA9D4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7300661C">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天内应免费维修或更换有缺陷的货物或部件。</w:t>
      </w:r>
    </w:p>
    <w:p w14:paraId="715A3EA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4、如果卖方在收到通知后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天内没有弥补缺陷，买方可采取必要的补救措施，但由此引发的风险和费用将由卖方承担。</w:t>
      </w:r>
    </w:p>
    <w:p w14:paraId="2E22578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5、合同项下货物的质量保证期为自货物通过最终验收起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个月。</w:t>
      </w:r>
    </w:p>
    <w:p w14:paraId="768474D6">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十四、检验和验收</w:t>
      </w:r>
    </w:p>
    <w:p w14:paraId="528328A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0CBC8DA1">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2、货物运抵现场后，买方应在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日内组织验收，需要安装调试的，卖方应负责安装调试。买方验收后制作验收备忘录，签署验收意见并报同级政府采购监督管理部门备案。</w:t>
      </w:r>
    </w:p>
    <w:p w14:paraId="38921AFA">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3、买方有在货物制造过程中派员监造的权利, 卖方有义务为买方监造人员行使该权利提供方便。</w:t>
      </w:r>
    </w:p>
    <w:p w14:paraId="5821B938">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4、制造厂对所供货物进行机械运转试验和性能试验时，卖方必须提前通知买方。</w:t>
      </w:r>
    </w:p>
    <w:p w14:paraId="20CB6F5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5、买方负责组织验收工作，大型或者复杂的政府采购项目，必须邀请国家认可的质量检测机构参加验收工作。</w:t>
      </w:r>
    </w:p>
    <w:p w14:paraId="377C0A58">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 xml:space="preserve">十五、售后服务 </w:t>
      </w:r>
    </w:p>
    <w:p w14:paraId="2CA5975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1、卖方在合同货物的质量保修期内，免费为买方提供合同货物的技术指导和维修服务，服务的时间是：每周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w:t>
      </w:r>
    </w:p>
    <w:p w14:paraId="67AC392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2、卖方保证在合同货物出现故障和缺陷时，或接到买方提出的技术服务要求后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小时内予以答复，如买方有要求或必要时，卖方应在接到买方通知后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小时内派员至买方免费维修和提供现场指导。</w:t>
      </w:r>
    </w:p>
    <w:p w14:paraId="551A5940">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3、如卖方在接到买方维修通知后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小时仍不能修复有关货物，卖方应提供与该货物同一型号的备用货物。</w:t>
      </w:r>
    </w:p>
    <w:p w14:paraId="6EDEC74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4、如卖方在接到买方提出的技术服务要求或维修通知后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小时内没有响应、拒绝或没有派员到达买方提供技术服务、修理或退换货物，买方有权委托第三方对合同货物进行维修或提供技术服务，因此产生的相关费用由卖方承担。</w:t>
      </w:r>
    </w:p>
    <w:p w14:paraId="73902FF5">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5、在合同货物保修期届满后，如果因合同货物硬件或软件的固有缺陷和瑕疵出现紧急故障和事故，卖方应在接到买方通知之后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小时内到达现场。</w:t>
      </w:r>
    </w:p>
    <w:p w14:paraId="7D8CAE54">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十六、索赔</w:t>
      </w:r>
    </w:p>
    <w:p w14:paraId="1908D51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如果货物的质量、规格、数量、重量等与合同不符，或在合同规定的质量保证期内证实货物存有缺陷，包括潜在的缺陷或使用不符合要求的材料等，买方有权根据有资质的权威质检机构的检验结果向卖方提出索赔。</w:t>
      </w:r>
    </w:p>
    <w:p w14:paraId="02E4721C">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2、在根据合同规定的检验期和质量保证期内，如果卖方对买方提出的索赔负有责任，买方有权选择下列一种或多种方式解决索赔事宜：</w:t>
      </w:r>
    </w:p>
    <w:p w14:paraId="10FA54F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E9A7BC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（2）根据货物低劣程度、损坏程度以及买方所遭受损失的数额，经买卖双方商定降低货物的价格，或由有权的部门评估，以降低后的价格或评估价格为准。</w:t>
      </w:r>
    </w:p>
    <w:p w14:paraId="378C197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用符合规格、质量和性能要求的新零件、部件或货物来更换有缺陷的部分或／和修补缺陷部分，卖方应承担一切费用和风险并负担买方所发生的一切费用。同时，卖方应按合同规定，相应延长修补或更换件的质量保证期。</w:t>
      </w:r>
    </w:p>
    <w:p w14:paraId="14B9309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（4）如果在买方发出索赔通知后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天内，卖方未作答复，上述索赔应视为已被卖方接受。如卖方未能在买方提出索赔通知后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或买方同意的更长时间内，按照本合同约定的任何一种方法解决索赔事宜，买方将从合同款或从卖方开具的履约保证金、保函中扣回索赔金额。如果这些金额不足以补偿索赔金额，买方有权向卖方提出不足部分的补偿要求。</w:t>
      </w:r>
    </w:p>
    <w:p w14:paraId="1F8AB6BA">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十七、迟延交货</w:t>
      </w:r>
    </w:p>
    <w:p w14:paraId="2790C02F">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1、卖方应按照买方规定的时间表交货和提供服务。</w:t>
      </w:r>
    </w:p>
    <w:p w14:paraId="772990E8">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2、在履行合同过程中，如果卖方遇到不能按时交货和提供服务的情况，应及时以书面形式将不能按时交货的理由、预期延误时间通知买方。买方收到卖方通知后，认为其理由正当的，可酌情延长交货时间。</w:t>
      </w:r>
    </w:p>
    <w:p w14:paraId="10A8F93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3、如果卖方无正当理由迟延交货，买方有权提出违约损失赔偿或解除合同。</w:t>
      </w:r>
    </w:p>
    <w:p w14:paraId="3D6D59DE">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十八、违约责任</w:t>
      </w:r>
    </w:p>
    <w:p w14:paraId="271D7DE8">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1、卖方供货期超过合同约定供货期限。如果卖方由于自身的原因未能按期履行完合同，买方有权获得经济上的赔偿，其标准为按每延期一天收取合同总价的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%，但误期赔偿费总额不得超过合同总价的30%。在此情况下，若误期赔偿总额超过合同总价30%的，则买方有权解除合同。</w:t>
      </w:r>
    </w:p>
    <w:p w14:paraId="3173E21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有）；如买方同意延长合同的履行时间，卖方必须在买方规定的时间内提供符合质量标准的产品，由此造成的误期赔偿费按照前款约定执行。如卖方在买方规定的时间内未能提供符合质量标准的产品，买方有权终止合同并要求卖方赔偿买方损失，不再退还履约保证金（如有）。</w:t>
      </w:r>
    </w:p>
    <w:p w14:paraId="45B601D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卖方交货不符合合同质量标准，卖方必须重新提供符合质量标准的产品，由此造成的误期赔偿费按照前款约定执行。如卖方在买方规定的时间内未能提供符合质量标准的产品，买方有权终止合同并要求卖方赔偿买方损失，不再退还履约保证金（如有）。</w:t>
      </w:r>
    </w:p>
    <w:p w14:paraId="7270B13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4、买方违反合同规定拒绝接收货物的，应当承担由此造成的损失。</w:t>
      </w:r>
    </w:p>
    <w:p w14:paraId="684BD309">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十九、不可抗力</w:t>
      </w:r>
    </w:p>
    <w:p w14:paraId="3FEBFFDF">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1、如果双方中任何一方遭遇法律规定的不可抗力，致使合同履行受阻时，履行合同的期限应予延长，延长的期限应相当于不可抗力所影响的时间。</w:t>
      </w:r>
    </w:p>
    <w:p w14:paraId="5BC3F4A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2、受事故影响的一方应在不可抗力的事件发生后尽快以书面形式通知另一方，并在事件发生后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天内，将有关部门出具的证明文件送达另一方。</w:t>
      </w:r>
    </w:p>
    <w:p w14:paraId="078DF1C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3、不可抗力使合同的某些内容有变更必要的， 双方应通过协商在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日内达成进一步履行合同的协议，因不可抗力致使合同不能履行的，合同终止。</w:t>
      </w:r>
    </w:p>
    <w:p w14:paraId="6B804457">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二十、税费</w:t>
      </w:r>
    </w:p>
    <w:p w14:paraId="32CAA588">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与本合同有关的一切税费均适用中华人民共和国法律的相关规定。</w:t>
      </w:r>
    </w:p>
    <w:p w14:paraId="233D29DA">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二十一、合同争议的解决</w:t>
      </w:r>
    </w:p>
    <w:p w14:paraId="7C7B42B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因合同履行中发生的争议，买方和卖方可友好协商解决。协商不成的，向合同签订地人民法院起诉。</w:t>
      </w:r>
    </w:p>
    <w:p w14:paraId="1FBA90D7">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二十二、违约解除合同</w:t>
      </w:r>
    </w:p>
    <w:p w14:paraId="53534A6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在卖方出现下列违约情况时，买方可向卖方发出书面通知，部分或全部终止合同，同时保留向卖方追诉和要求赔偿的权利；</w:t>
      </w:r>
    </w:p>
    <w:p w14:paraId="3D5ABB3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1、卖方未能在合同规定的限期或买方同意延长的限期内，提供全部或部分货物的； </w:t>
      </w:r>
    </w:p>
    <w:p w14:paraId="5CCC3C3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2、卖方未能履行合同规定的其它主要义务的；</w:t>
      </w:r>
    </w:p>
    <w:p w14:paraId="222ED5A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3、买方认为卖方在本合同履行过程中有腐败和欺诈行为的；</w:t>
      </w:r>
    </w:p>
    <w:p w14:paraId="79C7796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“腐败行为”和“欺诈行为”定义如下:</w:t>
      </w:r>
    </w:p>
    <w:p w14:paraId="7489496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（1）“腐败行为”是指提供/给予/接受或索取任何有价值的东西来影响买方在合同签订、履行过程中的行为。</w:t>
      </w:r>
    </w:p>
    <w:p w14:paraId="51D28861">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（2）“欺诈行为”是指为了影响合同签订、履行过程，以谎报事实的方法，损害买方的利益的行为。</w:t>
      </w:r>
    </w:p>
    <w:p w14:paraId="14C6CA7B">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买方根据本合同约定，全部或部分解除合同之后，应当遵循诚实信用原则，购买与未交付的货物类似的货物或服务，卖方应承担买方购买类似货物或服务而产生的额外支出。部分解除合同的，卖方应继续履行合同中未解除的部分。</w:t>
      </w:r>
    </w:p>
    <w:p w14:paraId="295290F9">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二十三、破产终止合同</w:t>
      </w:r>
    </w:p>
    <w:p w14:paraId="5F90747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如果卖方破产或无清偿能力时，买方可在任何时候以书面形式通知卖方，提出终止合同而不给卖方补偿。该合同的终止将不损害或不影响买方已经采取或将要采取任何行动或补救措施的权利。</w:t>
      </w:r>
    </w:p>
    <w:p w14:paraId="43D0515E">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二十四、转让和分包</w:t>
      </w:r>
    </w:p>
    <w:p w14:paraId="29CE6B1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政府采购合同不能转让。</w:t>
      </w:r>
    </w:p>
    <w:p w14:paraId="6EEE8F44">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二十五、合同修改</w:t>
      </w:r>
    </w:p>
    <w:p w14:paraId="50FB1BF6">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买方和卖方都不得擅自变更本合同，但合同继续履行将损害国家和社会公共利益的除外。如必须对合同条款进行改动时，当事人双方须共同签署书面文件，做为合同的补充，并报同级政府采购监督管理部门备案。</w:t>
      </w:r>
    </w:p>
    <w:p w14:paraId="4C6C9ABC">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二十六、通知</w:t>
      </w:r>
    </w:p>
    <w:p w14:paraId="7D790D7D">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本合同任何一方给另一方的通知，都应以书面形式发送，而另一方也应以书面形式确认并发送到对方明确的地址。</w:t>
      </w:r>
    </w:p>
    <w:p w14:paraId="28076388">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二十七、计量单位</w:t>
      </w:r>
    </w:p>
    <w:p w14:paraId="3E821A45">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除技术规范中另有规定外,计量单位均使用国家法定计量单位。</w:t>
      </w:r>
    </w:p>
    <w:p w14:paraId="203695F2">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二十八、适用法律</w:t>
      </w:r>
    </w:p>
    <w:p w14:paraId="69232653">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本合同应按照中华人民共和国的法律进行解释。</w:t>
      </w:r>
    </w:p>
    <w:p w14:paraId="04822DF3">
      <w:pPr>
        <w:spacing w:line="560" w:lineRule="exact"/>
        <w:ind w:firstLine="641"/>
        <w:rPr>
          <w:rFonts w:hint="eastAsia" w:cs="黑体" w:asciiTheme="minorEastAsia" w:hAnsiTheme="minorEastAsia" w:eastAsiaTheme="minorEastAsia"/>
          <w:sz w:val="24"/>
          <w:szCs w:val="24"/>
        </w:rPr>
      </w:pPr>
      <w:r>
        <w:rPr>
          <w:rFonts w:hint="eastAsia" w:cs="黑体" w:asciiTheme="minorEastAsia" w:hAnsiTheme="minorEastAsia" w:eastAsiaTheme="minorEastAsia"/>
          <w:sz w:val="24"/>
          <w:szCs w:val="24"/>
        </w:rPr>
        <w:t>二十九、合同生效和其它</w:t>
      </w:r>
    </w:p>
    <w:p w14:paraId="1129770E">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1、本合同经双方法定代表人或委托代理人签字并加盖单位公章或合同专用章后生效。如买方要求卖方递交履约保证金或履约保函，则卖方递交履约保证金或履约保函后合同生效。</w:t>
      </w:r>
    </w:p>
    <w:p w14:paraId="7EC91B44">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2、本合同一式</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份，具有同等法律效力。卖方和买方各执</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份。政府办公室备案1份。</w:t>
      </w:r>
    </w:p>
    <w:p w14:paraId="0427EEFA">
      <w:pPr>
        <w:spacing w:line="560" w:lineRule="exact"/>
        <w:rPr>
          <w:rFonts w:hint="eastAsia" w:asciiTheme="minorEastAsia" w:hAnsiTheme="minorEastAsia" w:eastAsiaTheme="minorEastAsia"/>
          <w:sz w:val="24"/>
          <w:szCs w:val="24"/>
        </w:rPr>
      </w:pPr>
    </w:p>
    <w:p w14:paraId="0B079642">
      <w:pPr>
        <w:spacing w:line="560" w:lineRule="exact"/>
        <w:rPr>
          <w:rFonts w:hint="eastAsia" w:asciiTheme="minorEastAsia" w:hAnsiTheme="minorEastAsia" w:eastAsiaTheme="minorEastAsia"/>
          <w:sz w:val="24"/>
          <w:szCs w:val="24"/>
        </w:rPr>
      </w:pPr>
    </w:p>
    <w:p w14:paraId="3D1C269D">
      <w:pPr>
        <w:spacing w:line="560" w:lineRule="exact"/>
        <w:ind w:firstLine="64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买方（印章）：</w:t>
      </w:r>
      <w:r>
        <w:rPr>
          <w:rFonts w:hint="eastAsia" w:asciiTheme="minorEastAsia" w:hAnsiTheme="minorEastAsia" w:eastAsiaTheme="minorEastAsia"/>
          <w:sz w:val="24"/>
          <w:szCs w:val="24"/>
          <w:u w:val="single"/>
        </w:rPr>
        <w:tab/>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卖方（印章）：</w:t>
      </w:r>
      <w:r>
        <w:rPr>
          <w:rFonts w:asciiTheme="minorEastAsia" w:hAnsiTheme="minorEastAsia" w:eastAsiaTheme="minorEastAsia"/>
          <w:sz w:val="24"/>
          <w:szCs w:val="24"/>
          <w:u w:val="single"/>
        </w:rPr>
        <w:t xml:space="preserve">        </w:t>
      </w:r>
    </w:p>
    <w:p w14:paraId="7C021732">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               法定代表人或 </w:t>
      </w:r>
    </w:p>
    <w:p w14:paraId="7740C1E9">
      <w:pPr>
        <w:spacing w:line="560" w:lineRule="exact"/>
        <w:ind w:firstLine="6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委托代理人(签字)：         委托代理人(签字)：</w:t>
      </w:r>
    </w:p>
    <w:p w14:paraId="0A5C0574">
      <w:pPr>
        <w:spacing w:line="560" w:lineRule="exact"/>
        <w:ind w:firstLine="640"/>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14:paraId="0749E5B9">
      <w:pPr>
        <w:spacing w:line="560" w:lineRule="exact"/>
        <w:ind w:firstLine="640"/>
        <w:rPr>
          <w:rFonts w:hint="eastAsia" w:asciiTheme="minorEastAsia" w:hAnsiTheme="minorEastAsia" w:eastAsiaTheme="minorEastAsia"/>
          <w:sz w:val="24"/>
          <w:szCs w:val="24"/>
        </w:rPr>
      </w:pPr>
    </w:p>
    <w:p w14:paraId="38FE8E9F">
      <w:pPr>
        <w:spacing w:line="560" w:lineRule="exact"/>
        <w:rPr>
          <w:rFonts w:hint="eastAsia" w:cs="黑体" w:asciiTheme="minorEastAsia" w:hAnsiTheme="minorEastAsia" w:eastAsiaTheme="minorEastAsia"/>
          <w:bCs/>
          <w:sz w:val="24"/>
          <w:szCs w:val="24"/>
          <w:u w:val="single"/>
        </w:rPr>
      </w:pPr>
      <w:r>
        <w:rPr>
          <w:rFonts w:hint="eastAsia" w:cs="黑体" w:asciiTheme="minorEastAsia" w:hAnsiTheme="minorEastAsia" w:eastAsiaTheme="minorEastAsia"/>
          <w:bCs/>
          <w:sz w:val="24"/>
          <w:szCs w:val="24"/>
        </w:rPr>
        <w:t>签署日期：</w:t>
      </w:r>
      <w:r>
        <w:rPr>
          <w:rFonts w:hint="eastAsia" w:cs="黑体" w:asciiTheme="minorEastAsia" w:hAnsiTheme="minorEastAsia" w:eastAsiaTheme="minorEastAsia"/>
          <w:bCs/>
          <w:sz w:val="24"/>
          <w:szCs w:val="24"/>
          <w:u w:val="single"/>
        </w:rPr>
        <w:t xml:space="preserve">                        </w:t>
      </w:r>
    </w:p>
    <w:p w14:paraId="18B24E3E">
      <w:pPr>
        <w:spacing w:line="560" w:lineRule="exact"/>
        <w:rPr>
          <w:rFonts w:hint="eastAsia" w:asciiTheme="minorEastAsia" w:hAnsiTheme="minorEastAsia" w:eastAsiaTheme="minorEastAsia"/>
          <w:sz w:val="24"/>
          <w:szCs w:val="24"/>
          <w:u w:val="single"/>
        </w:rPr>
      </w:pPr>
      <w:r>
        <w:rPr>
          <w:rFonts w:hint="eastAsia" w:cs="黑体" w:asciiTheme="minorEastAsia" w:hAnsiTheme="minorEastAsia" w:eastAsiaTheme="minorEastAsia"/>
          <w:bCs/>
          <w:sz w:val="24"/>
          <w:szCs w:val="24"/>
        </w:rPr>
        <w:t>签署地点：</w:t>
      </w:r>
      <w:r>
        <w:rPr>
          <w:rFonts w:asciiTheme="minorEastAsia" w:hAnsiTheme="minorEastAsia" w:eastAsiaTheme="minorEastAsia"/>
          <w:bCs/>
          <w:sz w:val="24"/>
          <w:szCs w:val="24"/>
          <w:u w:val="single"/>
        </w:rPr>
        <w:t xml:space="preserve"> </w:t>
      </w:r>
      <w:r>
        <w:rPr>
          <w:rFonts w:asciiTheme="minorEastAsia" w:hAnsiTheme="minorEastAsia" w:eastAsiaTheme="minorEastAsia"/>
          <w:sz w:val="24"/>
          <w:szCs w:val="24"/>
          <w:u w:val="single"/>
        </w:rPr>
        <w:t xml:space="preserve">                       </w:t>
      </w:r>
    </w:p>
    <w:p w14:paraId="0B706A42">
      <w:pPr>
        <w:rPr>
          <w:rFonts w:hint="eastAsia" w:asciiTheme="minorEastAsia" w:hAnsiTheme="minorEastAsia" w:eastAsiaTheme="minorEastAsia"/>
          <w:sz w:val="24"/>
          <w:szCs w:val="24"/>
        </w:rPr>
      </w:pPr>
    </w:p>
    <w:p w14:paraId="72A90F42">
      <w:pPr>
        <w:rPr>
          <w:rFonts w:hint="eastAsia" w:asciiTheme="minorEastAsia" w:hAnsiTheme="minorEastAsia" w:eastAsiaTheme="minorEastAsia"/>
          <w:sz w:val="24"/>
          <w:szCs w:val="24"/>
        </w:rPr>
      </w:pPr>
    </w:p>
    <w:p w14:paraId="5ABB5A66">
      <w:pPr>
        <w:rPr>
          <w:rFonts w:hint="eastAsia" w:asciiTheme="minorEastAsia" w:hAnsiTheme="minorEastAsia" w:eastAsiaTheme="minorEastAsia"/>
          <w:sz w:val="24"/>
          <w:szCs w:val="24"/>
        </w:rPr>
      </w:pPr>
    </w:p>
    <w:p w14:paraId="6087EBF8">
      <w:pPr>
        <w:rPr>
          <w:sz w:val="24"/>
          <w:szCs w:val="24"/>
        </w:rPr>
      </w:pPr>
    </w:p>
    <w:p w14:paraId="59747F08">
      <w:pPr>
        <w:pStyle w:val="2"/>
        <w:spacing w:line="500" w:lineRule="exact"/>
        <w:rPr>
          <w:rFonts w:cs="宋体"/>
          <w:sz w:val="40"/>
          <w:szCs w:val="40"/>
        </w:rPr>
      </w:pPr>
      <w:r>
        <w:rPr>
          <w:rFonts w:cs="宋体"/>
          <w:sz w:val="40"/>
          <w:szCs w:val="40"/>
        </w:rPr>
        <w:br w:type="page"/>
      </w:r>
      <w:bookmarkStart w:id="376" w:name="_Toc152656728"/>
      <w:r>
        <w:rPr>
          <w:rFonts w:hint="eastAsia" w:cs="宋体"/>
          <w:sz w:val="40"/>
          <w:szCs w:val="40"/>
        </w:rPr>
        <w:t>第五章 项目需求</w:t>
      </w:r>
      <w:bookmarkEnd w:id="376"/>
    </w:p>
    <w:p w14:paraId="653A2BFF">
      <w:pPr>
        <w:rPr>
          <w:sz w:val="24"/>
          <w:szCs w:val="24"/>
        </w:rPr>
      </w:pPr>
    </w:p>
    <w:p w14:paraId="51AC7ACF">
      <w:pPr>
        <w:pStyle w:val="3"/>
      </w:pPr>
      <w:r>
        <w:rPr>
          <w:rFonts w:hint="eastAsia"/>
        </w:rPr>
        <w:t>项目背景</w:t>
      </w:r>
    </w:p>
    <w:p w14:paraId="2F5D2620">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为贯彻落实国家《"健康中国2030"规划纲要》《关于促进医养结合服务高质量发展的指导意见》等政策要求，响应河南省"全链式"医养结合模式及郑州市养老服务圈"建设规划，新郑市新建路社区卫生服务中心拟建设"医养结合健康管理中心"。该项目将基于物联网、人工智能、大数据等先进技术，通过智能化平台整合医疗与养老服务资源，构建覆盖"防、治、管"全链条的区域化医养结合服务体系，项目需基于物联网、人工智能、大数据等技术，搭建区域健康管理云平台、配套硬件设施及算力、网络及安全服务等，实现老年人慢病精准管理、远程医疗协同、居家健康管理等功能，全面提升老年慢病患者健康服务水平，推动优质医疗资源下沉，助力健康中国战略落地实施。</w:t>
      </w:r>
    </w:p>
    <w:p w14:paraId="00328696">
      <w:pPr>
        <w:pStyle w:val="3"/>
      </w:pPr>
      <w:r>
        <w:rPr>
          <w:rFonts w:hint="eastAsia"/>
        </w:rPr>
        <w:t>需求清单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495"/>
        <w:gridCol w:w="1496"/>
        <w:gridCol w:w="4125"/>
        <w:gridCol w:w="1494"/>
      </w:tblGrid>
      <w:tr w14:paraId="5342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pct"/>
            <w:vAlign w:val="center"/>
          </w:tcPr>
          <w:p w14:paraId="1C6AF25F">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740" w:type="pct"/>
            <w:vAlign w:val="center"/>
          </w:tcPr>
          <w:p w14:paraId="7C1595E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分类</w:t>
            </w:r>
          </w:p>
        </w:tc>
        <w:tc>
          <w:tcPr>
            <w:tcW w:w="740" w:type="pct"/>
            <w:vAlign w:val="center"/>
          </w:tcPr>
          <w:p w14:paraId="412F5739">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2041" w:type="pct"/>
            <w:vAlign w:val="center"/>
          </w:tcPr>
          <w:p w14:paraId="3660D875">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模块</w:t>
            </w:r>
          </w:p>
        </w:tc>
        <w:tc>
          <w:tcPr>
            <w:tcW w:w="740" w:type="pct"/>
            <w:vAlign w:val="center"/>
          </w:tcPr>
          <w:p w14:paraId="323891E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数量/单位</w:t>
            </w:r>
          </w:p>
        </w:tc>
      </w:tr>
      <w:tr w14:paraId="615F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D71E0A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740" w:type="pct"/>
            <w:vMerge w:val="restart"/>
            <w:vAlign w:val="center"/>
          </w:tcPr>
          <w:p w14:paraId="334BB6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区域健康管理云平台</w:t>
            </w:r>
          </w:p>
        </w:tc>
        <w:tc>
          <w:tcPr>
            <w:tcW w:w="740" w:type="pct"/>
            <w:vMerge w:val="restart"/>
            <w:vAlign w:val="center"/>
          </w:tcPr>
          <w:p w14:paraId="3B658DF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智慧监测平台</w:t>
            </w:r>
          </w:p>
        </w:tc>
        <w:tc>
          <w:tcPr>
            <w:tcW w:w="2041" w:type="pct"/>
            <w:vAlign w:val="center"/>
          </w:tcPr>
          <w:p w14:paraId="160F048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卫健端监管大屏</w:t>
            </w:r>
          </w:p>
        </w:tc>
        <w:tc>
          <w:tcPr>
            <w:tcW w:w="740" w:type="pct"/>
            <w:vMerge w:val="restart"/>
            <w:vAlign w:val="center"/>
          </w:tcPr>
          <w:p w14:paraId="0371D1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r>
      <w:tr w14:paraId="7E4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8F3E41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740" w:type="pct"/>
            <w:vMerge w:val="continue"/>
            <w:vAlign w:val="center"/>
          </w:tcPr>
          <w:p w14:paraId="3993FE6B">
            <w:pPr>
              <w:widowControl/>
              <w:jc w:val="left"/>
              <w:rPr>
                <w:rFonts w:hint="eastAsia" w:ascii="宋体" w:hAnsi="宋体" w:cs="宋体"/>
                <w:color w:val="000000"/>
                <w:kern w:val="0"/>
                <w:sz w:val="22"/>
                <w:szCs w:val="22"/>
              </w:rPr>
            </w:pPr>
          </w:p>
        </w:tc>
        <w:tc>
          <w:tcPr>
            <w:tcW w:w="740" w:type="pct"/>
            <w:vMerge w:val="continue"/>
            <w:vAlign w:val="center"/>
          </w:tcPr>
          <w:p w14:paraId="25591C00">
            <w:pPr>
              <w:widowControl/>
              <w:jc w:val="left"/>
              <w:rPr>
                <w:rFonts w:hint="eastAsia" w:ascii="宋体" w:hAnsi="宋体" w:cs="宋体"/>
                <w:color w:val="000000"/>
                <w:kern w:val="0"/>
                <w:sz w:val="22"/>
                <w:szCs w:val="22"/>
              </w:rPr>
            </w:pPr>
          </w:p>
        </w:tc>
        <w:tc>
          <w:tcPr>
            <w:tcW w:w="2041" w:type="pct"/>
            <w:vAlign w:val="center"/>
          </w:tcPr>
          <w:p w14:paraId="6C2A16F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医院端监管大屏</w:t>
            </w:r>
          </w:p>
        </w:tc>
        <w:tc>
          <w:tcPr>
            <w:tcW w:w="740" w:type="pct"/>
            <w:vMerge w:val="continue"/>
            <w:vAlign w:val="center"/>
          </w:tcPr>
          <w:p w14:paraId="7AC5997D">
            <w:pPr>
              <w:widowControl/>
              <w:jc w:val="left"/>
              <w:rPr>
                <w:rFonts w:hint="eastAsia" w:ascii="宋体" w:hAnsi="宋体" w:cs="宋体"/>
                <w:color w:val="000000"/>
                <w:kern w:val="0"/>
                <w:sz w:val="22"/>
                <w:szCs w:val="22"/>
              </w:rPr>
            </w:pPr>
          </w:p>
        </w:tc>
      </w:tr>
      <w:tr w14:paraId="0442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509994B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740" w:type="pct"/>
            <w:vMerge w:val="continue"/>
            <w:vAlign w:val="center"/>
          </w:tcPr>
          <w:p w14:paraId="3AF920C1">
            <w:pPr>
              <w:widowControl/>
              <w:jc w:val="left"/>
              <w:rPr>
                <w:rFonts w:hint="eastAsia" w:ascii="宋体" w:hAnsi="宋体" w:cs="宋体"/>
                <w:color w:val="000000"/>
                <w:kern w:val="0"/>
                <w:sz w:val="22"/>
                <w:szCs w:val="22"/>
              </w:rPr>
            </w:pPr>
          </w:p>
        </w:tc>
        <w:tc>
          <w:tcPr>
            <w:tcW w:w="740" w:type="pct"/>
            <w:vMerge w:val="continue"/>
            <w:vAlign w:val="center"/>
          </w:tcPr>
          <w:p w14:paraId="61172E9F">
            <w:pPr>
              <w:widowControl/>
              <w:jc w:val="left"/>
              <w:rPr>
                <w:rFonts w:hint="eastAsia" w:ascii="宋体" w:hAnsi="宋体" w:cs="宋体"/>
                <w:color w:val="000000"/>
                <w:kern w:val="0"/>
                <w:sz w:val="22"/>
                <w:szCs w:val="22"/>
              </w:rPr>
            </w:pPr>
          </w:p>
        </w:tc>
        <w:tc>
          <w:tcPr>
            <w:tcW w:w="2041" w:type="pct"/>
            <w:vAlign w:val="center"/>
          </w:tcPr>
          <w:p w14:paraId="7D7313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工作量统计</w:t>
            </w:r>
          </w:p>
        </w:tc>
        <w:tc>
          <w:tcPr>
            <w:tcW w:w="740" w:type="pct"/>
            <w:vMerge w:val="continue"/>
            <w:vAlign w:val="center"/>
          </w:tcPr>
          <w:p w14:paraId="39006637">
            <w:pPr>
              <w:widowControl/>
              <w:jc w:val="left"/>
              <w:rPr>
                <w:rFonts w:hint="eastAsia" w:ascii="宋体" w:hAnsi="宋体" w:cs="宋体"/>
                <w:color w:val="000000"/>
                <w:kern w:val="0"/>
                <w:sz w:val="22"/>
                <w:szCs w:val="22"/>
              </w:rPr>
            </w:pPr>
          </w:p>
        </w:tc>
      </w:tr>
      <w:tr w14:paraId="62B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242E77E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740" w:type="pct"/>
            <w:vMerge w:val="continue"/>
            <w:vAlign w:val="center"/>
          </w:tcPr>
          <w:p w14:paraId="3596226B">
            <w:pPr>
              <w:widowControl/>
              <w:jc w:val="left"/>
              <w:rPr>
                <w:rFonts w:hint="eastAsia" w:ascii="宋体" w:hAnsi="宋体" w:cs="宋体"/>
                <w:color w:val="000000"/>
                <w:kern w:val="0"/>
                <w:sz w:val="22"/>
                <w:szCs w:val="22"/>
              </w:rPr>
            </w:pPr>
          </w:p>
        </w:tc>
        <w:tc>
          <w:tcPr>
            <w:tcW w:w="740" w:type="pct"/>
            <w:vMerge w:val="continue"/>
            <w:vAlign w:val="center"/>
          </w:tcPr>
          <w:p w14:paraId="3384CDD8">
            <w:pPr>
              <w:widowControl/>
              <w:jc w:val="left"/>
              <w:rPr>
                <w:rFonts w:hint="eastAsia" w:ascii="宋体" w:hAnsi="宋体" w:cs="宋体"/>
                <w:color w:val="000000"/>
                <w:kern w:val="0"/>
                <w:sz w:val="22"/>
                <w:szCs w:val="22"/>
              </w:rPr>
            </w:pPr>
          </w:p>
        </w:tc>
        <w:tc>
          <w:tcPr>
            <w:tcW w:w="2041" w:type="pct"/>
            <w:vAlign w:val="center"/>
          </w:tcPr>
          <w:p w14:paraId="0B05C48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患者基本情况分析</w:t>
            </w:r>
          </w:p>
        </w:tc>
        <w:tc>
          <w:tcPr>
            <w:tcW w:w="740" w:type="pct"/>
            <w:vMerge w:val="continue"/>
            <w:vAlign w:val="center"/>
          </w:tcPr>
          <w:p w14:paraId="467BE823">
            <w:pPr>
              <w:widowControl/>
              <w:jc w:val="left"/>
              <w:rPr>
                <w:rFonts w:hint="eastAsia" w:ascii="宋体" w:hAnsi="宋体" w:cs="宋体"/>
                <w:color w:val="000000"/>
                <w:kern w:val="0"/>
                <w:sz w:val="22"/>
                <w:szCs w:val="22"/>
              </w:rPr>
            </w:pPr>
          </w:p>
        </w:tc>
      </w:tr>
      <w:tr w14:paraId="562F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A32B0E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740" w:type="pct"/>
            <w:vMerge w:val="continue"/>
            <w:vAlign w:val="center"/>
          </w:tcPr>
          <w:p w14:paraId="6979E7DF">
            <w:pPr>
              <w:widowControl/>
              <w:jc w:val="left"/>
              <w:rPr>
                <w:rFonts w:hint="eastAsia" w:ascii="宋体" w:hAnsi="宋体" w:cs="宋体"/>
                <w:color w:val="000000"/>
                <w:kern w:val="0"/>
                <w:sz w:val="22"/>
                <w:szCs w:val="22"/>
              </w:rPr>
            </w:pPr>
          </w:p>
        </w:tc>
        <w:tc>
          <w:tcPr>
            <w:tcW w:w="740" w:type="pct"/>
            <w:vMerge w:val="continue"/>
            <w:vAlign w:val="center"/>
          </w:tcPr>
          <w:p w14:paraId="224863A8">
            <w:pPr>
              <w:widowControl/>
              <w:jc w:val="left"/>
              <w:rPr>
                <w:rFonts w:hint="eastAsia" w:ascii="宋体" w:hAnsi="宋体" w:cs="宋体"/>
                <w:color w:val="000000"/>
                <w:kern w:val="0"/>
                <w:sz w:val="22"/>
                <w:szCs w:val="22"/>
              </w:rPr>
            </w:pPr>
          </w:p>
        </w:tc>
        <w:tc>
          <w:tcPr>
            <w:tcW w:w="2041" w:type="pct"/>
            <w:vAlign w:val="center"/>
          </w:tcPr>
          <w:p w14:paraId="1651A0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绩效考核</w:t>
            </w:r>
          </w:p>
        </w:tc>
        <w:tc>
          <w:tcPr>
            <w:tcW w:w="740" w:type="pct"/>
            <w:vMerge w:val="continue"/>
            <w:vAlign w:val="center"/>
          </w:tcPr>
          <w:p w14:paraId="409C7EAF">
            <w:pPr>
              <w:widowControl/>
              <w:jc w:val="left"/>
              <w:rPr>
                <w:rFonts w:hint="eastAsia" w:ascii="宋体" w:hAnsi="宋体" w:cs="宋体"/>
                <w:color w:val="000000"/>
                <w:kern w:val="0"/>
                <w:sz w:val="22"/>
                <w:szCs w:val="22"/>
              </w:rPr>
            </w:pPr>
          </w:p>
        </w:tc>
      </w:tr>
      <w:tr w14:paraId="2A13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0D5D2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740" w:type="pct"/>
            <w:vMerge w:val="continue"/>
            <w:vAlign w:val="center"/>
          </w:tcPr>
          <w:p w14:paraId="38B8559B">
            <w:pPr>
              <w:widowControl/>
              <w:jc w:val="left"/>
              <w:rPr>
                <w:rFonts w:hint="eastAsia" w:ascii="宋体" w:hAnsi="宋体" w:cs="宋体"/>
                <w:color w:val="000000"/>
                <w:kern w:val="0"/>
                <w:sz w:val="22"/>
                <w:szCs w:val="22"/>
              </w:rPr>
            </w:pPr>
          </w:p>
        </w:tc>
        <w:tc>
          <w:tcPr>
            <w:tcW w:w="740" w:type="pct"/>
            <w:vMerge w:val="restart"/>
            <w:vAlign w:val="center"/>
          </w:tcPr>
          <w:p w14:paraId="6CC2409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智能慢病管理平台</w:t>
            </w:r>
          </w:p>
        </w:tc>
        <w:tc>
          <w:tcPr>
            <w:tcW w:w="2041" w:type="pct"/>
            <w:vAlign w:val="center"/>
          </w:tcPr>
          <w:p w14:paraId="4190595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慢病档案管理</w:t>
            </w:r>
          </w:p>
        </w:tc>
        <w:tc>
          <w:tcPr>
            <w:tcW w:w="740" w:type="pct"/>
            <w:vMerge w:val="continue"/>
            <w:vAlign w:val="center"/>
          </w:tcPr>
          <w:p w14:paraId="7E45BE1D">
            <w:pPr>
              <w:widowControl/>
              <w:jc w:val="left"/>
              <w:rPr>
                <w:rFonts w:hint="eastAsia" w:ascii="宋体" w:hAnsi="宋体" w:cs="宋体"/>
                <w:color w:val="000000"/>
                <w:kern w:val="0"/>
                <w:sz w:val="22"/>
                <w:szCs w:val="22"/>
              </w:rPr>
            </w:pPr>
          </w:p>
        </w:tc>
      </w:tr>
      <w:tr w14:paraId="77D7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55B7D7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740" w:type="pct"/>
            <w:vMerge w:val="continue"/>
            <w:vAlign w:val="center"/>
          </w:tcPr>
          <w:p w14:paraId="779746CB">
            <w:pPr>
              <w:widowControl/>
              <w:jc w:val="left"/>
              <w:rPr>
                <w:rFonts w:hint="eastAsia" w:ascii="宋体" w:hAnsi="宋体" w:cs="宋体"/>
                <w:color w:val="000000"/>
                <w:kern w:val="0"/>
                <w:sz w:val="22"/>
                <w:szCs w:val="22"/>
              </w:rPr>
            </w:pPr>
          </w:p>
        </w:tc>
        <w:tc>
          <w:tcPr>
            <w:tcW w:w="740" w:type="pct"/>
            <w:vMerge w:val="continue"/>
            <w:vAlign w:val="center"/>
          </w:tcPr>
          <w:p w14:paraId="41143EE4">
            <w:pPr>
              <w:widowControl/>
              <w:jc w:val="left"/>
              <w:rPr>
                <w:rFonts w:hint="eastAsia" w:ascii="宋体" w:hAnsi="宋体" w:cs="宋体"/>
                <w:color w:val="000000"/>
                <w:kern w:val="0"/>
                <w:sz w:val="22"/>
                <w:szCs w:val="22"/>
              </w:rPr>
            </w:pPr>
          </w:p>
        </w:tc>
        <w:tc>
          <w:tcPr>
            <w:tcW w:w="2041" w:type="pct"/>
            <w:vAlign w:val="center"/>
          </w:tcPr>
          <w:p w14:paraId="3A9EE3D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医生工作台</w:t>
            </w:r>
          </w:p>
        </w:tc>
        <w:tc>
          <w:tcPr>
            <w:tcW w:w="740" w:type="pct"/>
            <w:vMerge w:val="continue"/>
            <w:vAlign w:val="center"/>
          </w:tcPr>
          <w:p w14:paraId="582EFF7C">
            <w:pPr>
              <w:widowControl/>
              <w:jc w:val="left"/>
              <w:rPr>
                <w:rFonts w:hint="eastAsia" w:ascii="宋体" w:hAnsi="宋体" w:cs="宋体"/>
                <w:color w:val="000000"/>
                <w:kern w:val="0"/>
                <w:sz w:val="22"/>
                <w:szCs w:val="22"/>
              </w:rPr>
            </w:pPr>
          </w:p>
        </w:tc>
      </w:tr>
      <w:tr w14:paraId="73DF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113405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740" w:type="pct"/>
            <w:vMerge w:val="continue"/>
            <w:vAlign w:val="center"/>
          </w:tcPr>
          <w:p w14:paraId="7D3723CE">
            <w:pPr>
              <w:widowControl/>
              <w:jc w:val="left"/>
              <w:rPr>
                <w:rFonts w:hint="eastAsia" w:ascii="宋体" w:hAnsi="宋体" w:cs="宋体"/>
                <w:color w:val="000000"/>
                <w:kern w:val="0"/>
                <w:sz w:val="22"/>
                <w:szCs w:val="22"/>
              </w:rPr>
            </w:pPr>
          </w:p>
        </w:tc>
        <w:tc>
          <w:tcPr>
            <w:tcW w:w="740" w:type="pct"/>
            <w:vMerge w:val="continue"/>
            <w:vAlign w:val="center"/>
          </w:tcPr>
          <w:p w14:paraId="0A979DD0">
            <w:pPr>
              <w:widowControl/>
              <w:jc w:val="left"/>
              <w:rPr>
                <w:rFonts w:hint="eastAsia" w:ascii="宋体" w:hAnsi="宋体" w:cs="宋体"/>
                <w:color w:val="000000"/>
                <w:kern w:val="0"/>
                <w:sz w:val="22"/>
                <w:szCs w:val="22"/>
              </w:rPr>
            </w:pPr>
          </w:p>
        </w:tc>
        <w:tc>
          <w:tcPr>
            <w:tcW w:w="2041" w:type="pct"/>
            <w:vAlign w:val="center"/>
          </w:tcPr>
          <w:p w14:paraId="564842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慢病筛查</w:t>
            </w:r>
          </w:p>
        </w:tc>
        <w:tc>
          <w:tcPr>
            <w:tcW w:w="740" w:type="pct"/>
            <w:vMerge w:val="continue"/>
            <w:vAlign w:val="center"/>
          </w:tcPr>
          <w:p w14:paraId="708EA804">
            <w:pPr>
              <w:widowControl/>
              <w:jc w:val="left"/>
              <w:rPr>
                <w:rFonts w:hint="eastAsia" w:ascii="宋体" w:hAnsi="宋体" w:cs="宋体"/>
                <w:color w:val="000000"/>
                <w:kern w:val="0"/>
                <w:sz w:val="22"/>
                <w:szCs w:val="22"/>
              </w:rPr>
            </w:pPr>
          </w:p>
        </w:tc>
      </w:tr>
      <w:tr w14:paraId="14CD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11D5B0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740" w:type="pct"/>
            <w:vMerge w:val="continue"/>
            <w:vAlign w:val="center"/>
          </w:tcPr>
          <w:p w14:paraId="5A5F7F14">
            <w:pPr>
              <w:widowControl/>
              <w:jc w:val="left"/>
              <w:rPr>
                <w:rFonts w:hint="eastAsia" w:ascii="宋体" w:hAnsi="宋体" w:cs="宋体"/>
                <w:color w:val="000000"/>
                <w:kern w:val="0"/>
                <w:sz w:val="22"/>
                <w:szCs w:val="22"/>
              </w:rPr>
            </w:pPr>
          </w:p>
        </w:tc>
        <w:tc>
          <w:tcPr>
            <w:tcW w:w="740" w:type="pct"/>
            <w:vMerge w:val="continue"/>
            <w:vAlign w:val="center"/>
          </w:tcPr>
          <w:p w14:paraId="396D2815">
            <w:pPr>
              <w:widowControl/>
              <w:jc w:val="left"/>
              <w:rPr>
                <w:rFonts w:hint="eastAsia" w:ascii="宋体" w:hAnsi="宋体" w:cs="宋体"/>
                <w:color w:val="000000"/>
                <w:kern w:val="0"/>
                <w:sz w:val="22"/>
                <w:szCs w:val="22"/>
              </w:rPr>
            </w:pPr>
          </w:p>
        </w:tc>
        <w:tc>
          <w:tcPr>
            <w:tcW w:w="2041" w:type="pct"/>
            <w:vAlign w:val="center"/>
          </w:tcPr>
          <w:p w14:paraId="046898D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慢病管理</w:t>
            </w:r>
          </w:p>
        </w:tc>
        <w:tc>
          <w:tcPr>
            <w:tcW w:w="740" w:type="pct"/>
            <w:vMerge w:val="continue"/>
            <w:vAlign w:val="center"/>
          </w:tcPr>
          <w:p w14:paraId="106DAE24">
            <w:pPr>
              <w:widowControl/>
              <w:jc w:val="left"/>
              <w:rPr>
                <w:rFonts w:hint="eastAsia" w:ascii="宋体" w:hAnsi="宋体" w:cs="宋体"/>
                <w:color w:val="000000"/>
                <w:kern w:val="0"/>
                <w:sz w:val="22"/>
                <w:szCs w:val="22"/>
              </w:rPr>
            </w:pPr>
          </w:p>
        </w:tc>
      </w:tr>
      <w:tr w14:paraId="1D9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C98143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740" w:type="pct"/>
            <w:vMerge w:val="continue"/>
            <w:vAlign w:val="center"/>
          </w:tcPr>
          <w:p w14:paraId="38C7459E">
            <w:pPr>
              <w:widowControl/>
              <w:jc w:val="left"/>
              <w:rPr>
                <w:rFonts w:hint="eastAsia" w:ascii="宋体" w:hAnsi="宋体" w:cs="宋体"/>
                <w:color w:val="000000"/>
                <w:kern w:val="0"/>
                <w:sz w:val="22"/>
                <w:szCs w:val="22"/>
              </w:rPr>
            </w:pPr>
          </w:p>
        </w:tc>
        <w:tc>
          <w:tcPr>
            <w:tcW w:w="740" w:type="pct"/>
            <w:vMerge w:val="continue"/>
            <w:vAlign w:val="center"/>
          </w:tcPr>
          <w:p w14:paraId="48B3CC1E">
            <w:pPr>
              <w:widowControl/>
              <w:jc w:val="left"/>
              <w:rPr>
                <w:rFonts w:hint="eastAsia" w:ascii="宋体" w:hAnsi="宋体" w:cs="宋体"/>
                <w:color w:val="000000"/>
                <w:kern w:val="0"/>
                <w:sz w:val="22"/>
                <w:szCs w:val="22"/>
              </w:rPr>
            </w:pPr>
          </w:p>
        </w:tc>
        <w:tc>
          <w:tcPr>
            <w:tcW w:w="2041" w:type="pct"/>
            <w:vAlign w:val="center"/>
          </w:tcPr>
          <w:p w14:paraId="5D4B234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服务管理</w:t>
            </w:r>
          </w:p>
        </w:tc>
        <w:tc>
          <w:tcPr>
            <w:tcW w:w="740" w:type="pct"/>
            <w:vMerge w:val="continue"/>
            <w:vAlign w:val="center"/>
          </w:tcPr>
          <w:p w14:paraId="6B701D3C">
            <w:pPr>
              <w:widowControl/>
              <w:jc w:val="left"/>
              <w:rPr>
                <w:rFonts w:hint="eastAsia" w:ascii="宋体" w:hAnsi="宋体" w:cs="宋体"/>
                <w:color w:val="000000"/>
                <w:kern w:val="0"/>
                <w:sz w:val="22"/>
                <w:szCs w:val="22"/>
              </w:rPr>
            </w:pPr>
          </w:p>
        </w:tc>
      </w:tr>
      <w:tr w14:paraId="686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5956CA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740" w:type="pct"/>
            <w:vMerge w:val="continue"/>
            <w:vAlign w:val="center"/>
          </w:tcPr>
          <w:p w14:paraId="7EED6F04">
            <w:pPr>
              <w:widowControl/>
              <w:jc w:val="left"/>
              <w:rPr>
                <w:rFonts w:hint="eastAsia" w:ascii="宋体" w:hAnsi="宋体" w:cs="宋体"/>
                <w:color w:val="000000"/>
                <w:kern w:val="0"/>
                <w:sz w:val="22"/>
                <w:szCs w:val="22"/>
              </w:rPr>
            </w:pPr>
          </w:p>
        </w:tc>
        <w:tc>
          <w:tcPr>
            <w:tcW w:w="740" w:type="pct"/>
            <w:vMerge w:val="continue"/>
            <w:vAlign w:val="center"/>
          </w:tcPr>
          <w:p w14:paraId="3AAAD340">
            <w:pPr>
              <w:widowControl/>
              <w:jc w:val="left"/>
              <w:rPr>
                <w:rFonts w:hint="eastAsia" w:ascii="宋体" w:hAnsi="宋体" w:cs="宋体"/>
                <w:color w:val="000000"/>
                <w:kern w:val="0"/>
                <w:sz w:val="22"/>
                <w:szCs w:val="22"/>
              </w:rPr>
            </w:pPr>
          </w:p>
        </w:tc>
        <w:tc>
          <w:tcPr>
            <w:tcW w:w="2041" w:type="pct"/>
            <w:vAlign w:val="center"/>
          </w:tcPr>
          <w:p w14:paraId="09D9004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AI智能分析</w:t>
            </w:r>
          </w:p>
        </w:tc>
        <w:tc>
          <w:tcPr>
            <w:tcW w:w="740" w:type="pct"/>
            <w:vMerge w:val="continue"/>
            <w:vAlign w:val="center"/>
          </w:tcPr>
          <w:p w14:paraId="28D68BAC">
            <w:pPr>
              <w:widowControl/>
              <w:jc w:val="left"/>
              <w:rPr>
                <w:rFonts w:hint="eastAsia" w:ascii="宋体" w:hAnsi="宋体" w:cs="宋体"/>
                <w:color w:val="000000"/>
                <w:kern w:val="0"/>
                <w:sz w:val="22"/>
                <w:szCs w:val="22"/>
              </w:rPr>
            </w:pPr>
          </w:p>
        </w:tc>
      </w:tr>
      <w:tr w14:paraId="2F72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5ABA66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740" w:type="pct"/>
            <w:vMerge w:val="continue"/>
            <w:vAlign w:val="center"/>
          </w:tcPr>
          <w:p w14:paraId="799D0003">
            <w:pPr>
              <w:widowControl/>
              <w:jc w:val="left"/>
              <w:rPr>
                <w:rFonts w:hint="eastAsia" w:ascii="宋体" w:hAnsi="宋体" w:cs="宋体"/>
                <w:color w:val="000000"/>
                <w:kern w:val="0"/>
                <w:sz w:val="22"/>
                <w:szCs w:val="22"/>
              </w:rPr>
            </w:pPr>
          </w:p>
        </w:tc>
        <w:tc>
          <w:tcPr>
            <w:tcW w:w="740" w:type="pct"/>
            <w:vMerge w:val="continue"/>
            <w:vAlign w:val="center"/>
          </w:tcPr>
          <w:p w14:paraId="045D52D4">
            <w:pPr>
              <w:widowControl/>
              <w:jc w:val="left"/>
              <w:rPr>
                <w:rFonts w:hint="eastAsia" w:ascii="宋体" w:hAnsi="宋体" w:cs="宋体"/>
                <w:color w:val="000000"/>
                <w:kern w:val="0"/>
                <w:sz w:val="22"/>
                <w:szCs w:val="22"/>
              </w:rPr>
            </w:pPr>
          </w:p>
        </w:tc>
        <w:tc>
          <w:tcPr>
            <w:tcW w:w="2041" w:type="pct"/>
            <w:vAlign w:val="center"/>
          </w:tcPr>
          <w:p w14:paraId="000FE5A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健康咨询</w:t>
            </w:r>
          </w:p>
        </w:tc>
        <w:tc>
          <w:tcPr>
            <w:tcW w:w="740" w:type="pct"/>
            <w:vMerge w:val="continue"/>
            <w:vAlign w:val="center"/>
          </w:tcPr>
          <w:p w14:paraId="72774F9D">
            <w:pPr>
              <w:widowControl/>
              <w:jc w:val="left"/>
              <w:rPr>
                <w:rFonts w:hint="eastAsia" w:ascii="宋体" w:hAnsi="宋体" w:cs="宋体"/>
                <w:color w:val="000000"/>
                <w:kern w:val="0"/>
                <w:sz w:val="22"/>
                <w:szCs w:val="22"/>
              </w:rPr>
            </w:pPr>
          </w:p>
        </w:tc>
      </w:tr>
      <w:tr w14:paraId="5C22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80C2C0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740" w:type="pct"/>
            <w:vMerge w:val="continue"/>
            <w:vAlign w:val="center"/>
          </w:tcPr>
          <w:p w14:paraId="0910AF88">
            <w:pPr>
              <w:widowControl/>
              <w:jc w:val="left"/>
              <w:rPr>
                <w:rFonts w:hint="eastAsia" w:ascii="宋体" w:hAnsi="宋体" w:cs="宋体"/>
                <w:color w:val="000000"/>
                <w:kern w:val="0"/>
                <w:sz w:val="22"/>
                <w:szCs w:val="22"/>
              </w:rPr>
            </w:pPr>
          </w:p>
        </w:tc>
        <w:tc>
          <w:tcPr>
            <w:tcW w:w="740" w:type="pct"/>
            <w:vMerge w:val="continue"/>
            <w:vAlign w:val="center"/>
          </w:tcPr>
          <w:p w14:paraId="3DC4E3AE">
            <w:pPr>
              <w:widowControl/>
              <w:jc w:val="left"/>
              <w:rPr>
                <w:rFonts w:hint="eastAsia" w:ascii="宋体" w:hAnsi="宋体" w:cs="宋体"/>
                <w:color w:val="000000"/>
                <w:kern w:val="0"/>
                <w:sz w:val="22"/>
                <w:szCs w:val="22"/>
              </w:rPr>
            </w:pPr>
          </w:p>
        </w:tc>
        <w:tc>
          <w:tcPr>
            <w:tcW w:w="2041" w:type="pct"/>
            <w:vAlign w:val="center"/>
          </w:tcPr>
          <w:p w14:paraId="5E002D4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远程会诊</w:t>
            </w:r>
          </w:p>
        </w:tc>
        <w:tc>
          <w:tcPr>
            <w:tcW w:w="740" w:type="pct"/>
            <w:vMerge w:val="continue"/>
            <w:vAlign w:val="center"/>
          </w:tcPr>
          <w:p w14:paraId="5C606BE7">
            <w:pPr>
              <w:widowControl/>
              <w:jc w:val="left"/>
              <w:rPr>
                <w:rFonts w:hint="eastAsia" w:ascii="宋体" w:hAnsi="宋体" w:cs="宋体"/>
                <w:color w:val="000000"/>
                <w:kern w:val="0"/>
                <w:sz w:val="22"/>
                <w:szCs w:val="22"/>
              </w:rPr>
            </w:pPr>
          </w:p>
        </w:tc>
      </w:tr>
      <w:tr w14:paraId="61B4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7D67FF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740" w:type="pct"/>
            <w:vMerge w:val="continue"/>
            <w:vAlign w:val="center"/>
          </w:tcPr>
          <w:p w14:paraId="00706049">
            <w:pPr>
              <w:widowControl/>
              <w:jc w:val="left"/>
              <w:rPr>
                <w:rFonts w:hint="eastAsia" w:ascii="宋体" w:hAnsi="宋体" w:cs="宋体"/>
                <w:color w:val="000000"/>
                <w:kern w:val="0"/>
                <w:sz w:val="22"/>
                <w:szCs w:val="22"/>
              </w:rPr>
            </w:pPr>
          </w:p>
        </w:tc>
        <w:tc>
          <w:tcPr>
            <w:tcW w:w="740" w:type="pct"/>
            <w:vMerge w:val="continue"/>
            <w:vAlign w:val="center"/>
          </w:tcPr>
          <w:p w14:paraId="454F0AF8">
            <w:pPr>
              <w:widowControl/>
              <w:jc w:val="left"/>
              <w:rPr>
                <w:rFonts w:hint="eastAsia" w:ascii="宋体" w:hAnsi="宋体" w:cs="宋体"/>
                <w:color w:val="000000"/>
                <w:kern w:val="0"/>
                <w:sz w:val="22"/>
                <w:szCs w:val="22"/>
              </w:rPr>
            </w:pPr>
          </w:p>
        </w:tc>
        <w:tc>
          <w:tcPr>
            <w:tcW w:w="2041" w:type="pct"/>
            <w:vAlign w:val="center"/>
          </w:tcPr>
          <w:p w14:paraId="07612C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双向转诊</w:t>
            </w:r>
          </w:p>
        </w:tc>
        <w:tc>
          <w:tcPr>
            <w:tcW w:w="740" w:type="pct"/>
            <w:vMerge w:val="continue"/>
            <w:vAlign w:val="center"/>
          </w:tcPr>
          <w:p w14:paraId="049582AE">
            <w:pPr>
              <w:widowControl/>
              <w:jc w:val="left"/>
              <w:rPr>
                <w:rFonts w:hint="eastAsia" w:ascii="宋体" w:hAnsi="宋体" w:cs="宋体"/>
                <w:color w:val="000000"/>
                <w:kern w:val="0"/>
                <w:sz w:val="22"/>
                <w:szCs w:val="22"/>
              </w:rPr>
            </w:pPr>
          </w:p>
        </w:tc>
      </w:tr>
      <w:tr w14:paraId="7797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7A919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740" w:type="pct"/>
            <w:vMerge w:val="continue"/>
            <w:vAlign w:val="center"/>
          </w:tcPr>
          <w:p w14:paraId="76EA6559">
            <w:pPr>
              <w:widowControl/>
              <w:jc w:val="left"/>
              <w:rPr>
                <w:rFonts w:hint="eastAsia" w:ascii="宋体" w:hAnsi="宋体" w:cs="宋体"/>
                <w:color w:val="000000"/>
                <w:kern w:val="0"/>
                <w:sz w:val="22"/>
                <w:szCs w:val="22"/>
              </w:rPr>
            </w:pPr>
          </w:p>
        </w:tc>
        <w:tc>
          <w:tcPr>
            <w:tcW w:w="740" w:type="pct"/>
            <w:vMerge w:val="continue"/>
            <w:vAlign w:val="center"/>
          </w:tcPr>
          <w:p w14:paraId="46F48AE8">
            <w:pPr>
              <w:widowControl/>
              <w:jc w:val="left"/>
              <w:rPr>
                <w:rFonts w:hint="eastAsia" w:ascii="宋体" w:hAnsi="宋体" w:cs="宋体"/>
                <w:color w:val="000000"/>
                <w:kern w:val="0"/>
                <w:sz w:val="22"/>
                <w:szCs w:val="22"/>
              </w:rPr>
            </w:pPr>
          </w:p>
        </w:tc>
        <w:tc>
          <w:tcPr>
            <w:tcW w:w="2041" w:type="pct"/>
            <w:vAlign w:val="center"/>
          </w:tcPr>
          <w:p w14:paraId="466E771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健康科普资源库</w:t>
            </w:r>
          </w:p>
        </w:tc>
        <w:tc>
          <w:tcPr>
            <w:tcW w:w="740" w:type="pct"/>
            <w:vMerge w:val="continue"/>
            <w:vAlign w:val="center"/>
          </w:tcPr>
          <w:p w14:paraId="4206B8CF">
            <w:pPr>
              <w:widowControl/>
              <w:jc w:val="left"/>
              <w:rPr>
                <w:rFonts w:hint="eastAsia" w:ascii="宋体" w:hAnsi="宋体" w:cs="宋体"/>
                <w:color w:val="000000"/>
                <w:kern w:val="0"/>
                <w:sz w:val="22"/>
                <w:szCs w:val="22"/>
              </w:rPr>
            </w:pPr>
          </w:p>
        </w:tc>
      </w:tr>
      <w:tr w14:paraId="04B0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6B5D4F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740" w:type="pct"/>
            <w:vMerge w:val="continue"/>
            <w:vAlign w:val="center"/>
          </w:tcPr>
          <w:p w14:paraId="70089496">
            <w:pPr>
              <w:widowControl/>
              <w:jc w:val="left"/>
              <w:rPr>
                <w:rFonts w:hint="eastAsia" w:ascii="宋体" w:hAnsi="宋体" w:cs="宋体"/>
                <w:color w:val="000000"/>
                <w:kern w:val="0"/>
                <w:sz w:val="22"/>
                <w:szCs w:val="22"/>
              </w:rPr>
            </w:pPr>
          </w:p>
        </w:tc>
        <w:tc>
          <w:tcPr>
            <w:tcW w:w="740" w:type="pct"/>
            <w:vMerge w:val="continue"/>
            <w:vAlign w:val="center"/>
          </w:tcPr>
          <w:p w14:paraId="74C7C84E">
            <w:pPr>
              <w:widowControl/>
              <w:jc w:val="left"/>
              <w:rPr>
                <w:rFonts w:hint="eastAsia" w:ascii="宋体" w:hAnsi="宋体" w:cs="宋体"/>
                <w:color w:val="000000"/>
                <w:kern w:val="0"/>
                <w:sz w:val="22"/>
                <w:szCs w:val="22"/>
              </w:rPr>
            </w:pPr>
          </w:p>
        </w:tc>
        <w:tc>
          <w:tcPr>
            <w:tcW w:w="2041" w:type="pct"/>
            <w:vAlign w:val="center"/>
          </w:tcPr>
          <w:p w14:paraId="1915F70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系统管理</w:t>
            </w:r>
          </w:p>
        </w:tc>
        <w:tc>
          <w:tcPr>
            <w:tcW w:w="740" w:type="pct"/>
            <w:vMerge w:val="continue"/>
            <w:vAlign w:val="center"/>
          </w:tcPr>
          <w:p w14:paraId="594E9022">
            <w:pPr>
              <w:widowControl/>
              <w:jc w:val="left"/>
              <w:rPr>
                <w:rFonts w:hint="eastAsia" w:ascii="宋体" w:hAnsi="宋体" w:cs="宋体"/>
                <w:color w:val="000000"/>
                <w:kern w:val="0"/>
                <w:sz w:val="22"/>
                <w:szCs w:val="22"/>
              </w:rPr>
            </w:pPr>
          </w:p>
        </w:tc>
      </w:tr>
      <w:tr w14:paraId="3347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697F1E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740" w:type="pct"/>
            <w:vMerge w:val="continue"/>
            <w:vAlign w:val="center"/>
          </w:tcPr>
          <w:p w14:paraId="6BDE022B">
            <w:pPr>
              <w:widowControl/>
              <w:jc w:val="left"/>
              <w:rPr>
                <w:rFonts w:hint="eastAsia" w:ascii="宋体" w:hAnsi="宋体" w:cs="宋体"/>
                <w:color w:val="000000"/>
                <w:kern w:val="0"/>
                <w:sz w:val="22"/>
                <w:szCs w:val="22"/>
              </w:rPr>
            </w:pPr>
          </w:p>
        </w:tc>
        <w:tc>
          <w:tcPr>
            <w:tcW w:w="740" w:type="pct"/>
            <w:vMerge w:val="restart"/>
            <w:vAlign w:val="center"/>
          </w:tcPr>
          <w:p w14:paraId="3D8919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医生移动端</w:t>
            </w:r>
          </w:p>
        </w:tc>
        <w:tc>
          <w:tcPr>
            <w:tcW w:w="2041" w:type="pct"/>
            <w:vAlign w:val="center"/>
          </w:tcPr>
          <w:p w14:paraId="2620E01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慢病档案管理</w:t>
            </w:r>
          </w:p>
        </w:tc>
        <w:tc>
          <w:tcPr>
            <w:tcW w:w="740" w:type="pct"/>
            <w:vMerge w:val="continue"/>
            <w:vAlign w:val="center"/>
          </w:tcPr>
          <w:p w14:paraId="174A8D07">
            <w:pPr>
              <w:widowControl/>
              <w:jc w:val="left"/>
              <w:rPr>
                <w:rFonts w:hint="eastAsia" w:ascii="宋体" w:hAnsi="宋体" w:cs="宋体"/>
                <w:color w:val="000000"/>
                <w:kern w:val="0"/>
                <w:sz w:val="22"/>
                <w:szCs w:val="22"/>
              </w:rPr>
            </w:pPr>
          </w:p>
        </w:tc>
      </w:tr>
      <w:tr w14:paraId="7B5F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27FDBC9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740" w:type="pct"/>
            <w:vMerge w:val="continue"/>
            <w:vAlign w:val="center"/>
          </w:tcPr>
          <w:p w14:paraId="7A8946AA">
            <w:pPr>
              <w:widowControl/>
              <w:jc w:val="left"/>
              <w:rPr>
                <w:rFonts w:hint="eastAsia" w:ascii="宋体" w:hAnsi="宋体" w:cs="宋体"/>
                <w:color w:val="000000"/>
                <w:kern w:val="0"/>
                <w:sz w:val="22"/>
                <w:szCs w:val="22"/>
              </w:rPr>
            </w:pPr>
          </w:p>
        </w:tc>
        <w:tc>
          <w:tcPr>
            <w:tcW w:w="740" w:type="pct"/>
            <w:vMerge w:val="continue"/>
            <w:vAlign w:val="center"/>
          </w:tcPr>
          <w:p w14:paraId="346B4B62">
            <w:pPr>
              <w:widowControl/>
              <w:jc w:val="left"/>
              <w:rPr>
                <w:rFonts w:hint="eastAsia" w:ascii="宋体" w:hAnsi="宋体" w:cs="宋体"/>
                <w:color w:val="000000"/>
                <w:kern w:val="0"/>
                <w:sz w:val="22"/>
                <w:szCs w:val="22"/>
              </w:rPr>
            </w:pPr>
          </w:p>
        </w:tc>
        <w:tc>
          <w:tcPr>
            <w:tcW w:w="2041" w:type="pct"/>
            <w:vAlign w:val="center"/>
          </w:tcPr>
          <w:p w14:paraId="624FEDD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慢病筛查</w:t>
            </w:r>
          </w:p>
        </w:tc>
        <w:tc>
          <w:tcPr>
            <w:tcW w:w="740" w:type="pct"/>
            <w:vMerge w:val="continue"/>
            <w:vAlign w:val="center"/>
          </w:tcPr>
          <w:p w14:paraId="709FB124">
            <w:pPr>
              <w:widowControl/>
              <w:jc w:val="left"/>
              <w:rPr>
                <w:rFonts w:hint="eastAsia" w:ascii="宋体" w:hAnsi="宋体" w:cs="宋体"/>
                <w:color w:val="000000"/>
                <w:kern w:val="0"/>
                <w:sz w:val="22"/>
                <w:szCs w:val="22"/>
              </w:rPr>
            </w:pPr>
          </w:p>
        </w:tc>
      </w:tr>
      <w:tr w14:paraId="4C06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4968F1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740" w:type="pct"/>
            <w:vMerge w:val="continue"/>
            <w:vAlign w:val="center"/>
          </w:tcPr>
          <w:p w14:paraId="1064BD84">
            <w:pPr>
              <w:widowControl/>
              <w:jc w:val="left"/>
              <w:rPr>
                <w:rFonts w:hint="eastAsia" w:ascii="宋体" w:hAnsi="宋体" w:cs="宋体"/>
                <w:color w:val="000000"/>
                <w:kern w:val="0"/>
                <w:sz w:val="22"/>
                <w:szCs w:val="22"/>
              </w:rPr>
            </w:pPr>
          </w:p>
        </w:tc>
        <w:tc>
          <w:tcPr>
            <w:tcW w:w="740" w:type="pct"/>
            <w:vMerge w:val="continue"/>
            <w:vAlign w:val="center"/>
          </w:tcPr>
          <w:p w14:paraId="2261AE95">
            <w:pPr>
              <w:widowControl/>
              <w:jc w:val="left"/>
              <w:rPr>
                <w:rFonts w:hint="eastAsia" w:ascii="宋体" w:hAnsi="宋体" w:cs="宋体"/>
                <w:color w:val="000000"/>
                <w:kern w:val="0"/>
                <w:sz w:val="22"/>
                <w:szCs w:val="22"/>
              </w:rPr>
            </w:pPr>
          </w:p>
        </w:tc>
        <w:tc>
          <w:tcPr>
            <w:tcW w:w="2041" w:type="pct"/>
            <w:vAlign w:val="center"/>
          </w:tcPr>
          <w:p w14:paraId="4B16C0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慢病管理</w:t>
            </w:r>
          </w:p>
        </w:tc>
        <w:tc>
          <w:tcPr>
            <w:tcW w:w="740" w:type="pct"/>
            <w:vMerge w:val="continue"/>
            <w:vAlign w:val="center"/>
          </w:tcPr>
          <w:p w14:paraId="12BC6C1B">
            <w:pPr>
              <w:widowControl/>
              <w:jc w:val="left"/>
              <w:rPr>
                <w:rFonts w:hint="eastAsia" w:ascii="宋体" w:hAnsi="宋体" w:cs="宋体"/>
                <w:color w:val="000000"/>
                <w:kern w:val="0"/>
                <w:sz w:val="22"/>
                <w:szCs w:val="22"/>
              </w:rPr>
            </w:pPr>
          </w:p>
        </w:tc>
      </w:tr>
      <w:tr w14:paraId="1A1D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C88980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740" w:type="pct"/>
            <w:vMerge w:val="continue"/>
            <w:vAlign w:val="center"/>
          </w:tcPr>
          <w:p w14:paraId="5B90FB28">
            <w:pPr>
              <w:widowControl/>
              <w:jc w:val="left"/>
              <w:rPr>
                <w:rFonts w:hint="eastAsia" w:ascii="宋体" w:hAnsi="宋体" w:cs="宋体"/>
                <w:color w:val="000000"/>
                <w:kern w:val="0"/>
                <w:sz w:val="22"/>
                <w:szCs w:val="22"/>
              </w:rPr>
            </w:pPr>
          </w:p>
        </w:tc>
        <w:tc>
          <w:tcPr>
            <w:tcW w:w="740" w:type="pct"/>
            <w:vMerge w:val="continue"/>
            <w:vAlign w:val="center"/>
          </w:tcPr>
          <w:p w14:paraId="1D3AC798">
            <w:pPr>
              <w:widowControl/>
              <w:jc w:val="left"/>
              <w:rPr>
                <w:rFonts w:hint="eastAsia" w:ascii="宋体" w:hAnsi="宋体" w:cs="宋体"/>
                <w:color w:val="000000"/>
                <w:kern w:val="0"/>
                <w:sz w:val="22"/>
                <w:szCs w:val="22"/>
              </w:rPr>
            </w:pPr>
          </w:p>
        </w:tc>
        <w:tc>
          <w:tcPr>
            <w:tcW w:w="2041" w:type="pct"/>
            <w:vAlign w:val="center"/>
          </w:tcPr>
          <w:p w14:paraId="69C9F6C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并发症管理</w:t>
            </w:r>
          </w:p>
        </w:tc>
        <w:tc>
          <w:tcPr>
            <w:tcW w:w="740" w:type="pct"/>
            <w:vMerge w:val="continue"/>
            <w:vAlign w:val="center"/>
          </w:tcPr>
          <w:p w14:paraId="73562905">
            <w:pPr>
              <w:widowControl/>
              <w:jc w:val="left"/>
              <w:rPr>
                <w:rFonts w:hint="eastAsia" w:ascii="宋体" w:hAnsi="宋体" w:cs="宋体"/>
                <w:color w:val="000000"/>
                <w:kern w:val="0"/>
                <w:sz w:val="22"/>
                <w:szCs w:val="22"/>
              </w:rPr>
            </w:pPr>
          </w:p>
        </w:tc>
      </w:tr>
      <w:tr w14:paraId="542E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A915D1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740" w:type="pct"/>
            <w:vMerge w:val="continue"/>
            <w:vAlign w:val="center"/>
          </w:tcPr>
          <w:p w14:paraId="5D0B2731">
            <w:pPr>
              <w:widowControl/>
              <w:jc w:val="left"/>
              <w:rPr>
                <w:rFonts w:hint="eastAsia" w:ascii="宋体" w:hAnsi="宋体" w:cs="宋体"/>
                <w:color w:val="000000"/>
                <w:kern w:val="0"/>
                <w:sz w:val="22"/>
                <w:szCs w:val="22"/>
              </w:rPr>
            </w:pPr>
          </w:p>
        </w:tc>
        <w:tc>
          <w:tcPr>
            <w:tcW w:w="740" w:type="pct"/>
            <w:vMerge w:val="continue"/>
            <w:vAlign w:val="center"/>
          </w:tcPr>
          <w:p w14:paraId="15BD969F">
            <w:pPr>
              <w:widowControl/>
              <w:jc w:val="left"/>
              <w:rPr>
                <w:rFonts w:hint="eastAsia" w:ascii="宋体" w:hAnsi="宋体" w:cs="宋体"/>
                <w:color w:val="000000"/>
                <w:kern w:val="0"/>
                <w:sz w:val="22"/>
                <w:szCs w:val="22"/>
              </w:rPr>
            </w:pPr>
          </w:p>
        </w:tc>
        <w:tc>
          <w:tcPr>
            <w:tcW w:w="2041" w:type="pct"/>
            <w:vAlign w:val="center"/>
          </w:tcPr>
          <w:p w14:paraId="37FF806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健康咨询</w:t>
            </w:r>
          </w:p>
        </w:tc>
        <w:tc>
          <w:tcPr>
            <w:tcW w:w="740" w:type="pct"/>
            <w:vMerge w:val="continue"/>
            <w:vAlign w:val="center"/>
          </w:tcPr>
          <w:p w14:paraId="36C0A719">
            <w:pPr>
              <w:widowControl/>
              <w:jc w:val="left"/>
              <w:rPr>
                <w:rFonts w:hint="eastAsia" w:ascii="宋体" w:hAnsi="宋体" w:cs="宋体"/>
                <w:color w:val="000000"/>
                <w:kern w:val="0"/>
                <w:sz w:val="22"/>
                <w:szCs w:val="22"/>
              </w:rPr>
            </w:pPr>
          </w:p>
        </w:tc>
      </w:tr>
      <w:tr w14:paraId="0607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7903562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740" w:type="pct"/>
            <w:vMerge w:val="continue"/>
            <w:vAlign w:val="center"/>
          </w:tcPr>
          <w:p w14:paraId="4090393D">
            <w:pPr>
              <w:widowControl/>
              <w:jc w:val="left"/>
              <w:rPr>
                <w:rFonts w:hint="eastAsia" w:ascii="宋体" w:hAnsi="宋体" w:cs="宋体"/>
                <w:color w:val="000000"/>
                <w:kern w:val="0"/>
                <w:sz w:val="22"/>
                <w:szCs w:val="22"/>
              </w:rPr>
            </w:pPr>
          </w:p>
        </w:tc>
        <w:tc>
          <w:tcPr>
            <w:tcW w:w="740" w:type="pct"/>
            <w:vMerge w:val="continue"/>
            <w:vAlign w:val="center"/>
          </w:tcPr>
          <w:p w14:paraId="3AA8D72E">
            <w:pPr>
              <w:widowControl/>
              <w:jc w:val="left"/>
              <w:rPr>
                <w:rFonts w:hint="eastAsia" w:ascii="宋体" w:hAnsi="宋体" w:cs="宋体"/>
                <w:color w:val="000000"/>
                <w:kern w:val="0"/>
                <w:sz w:val="22"/>
                <w:szCs w:val="22"/>
              </w:rPr>
            </w:pPr>
          </w:p>
        </w:tc>
        <w:tc>
          <w:tcPr>
            <w:tcW w:w="2041" w:type="pct"/>
            <w:vAlign w:val="center"/>
          </w:tcPr>
          <w:p w14:paraId="1C6ECC4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服务预警</w:t>
            </w:r>
          </w:p>
        </w:tc>
        <w:tc>
          <w:tcPr>
            <w:tcW w:w="740" w:type="pct"/>
            <w:vMerge w:val="continue"/>
            <w:vAlign w:val="center"/>
          </w:tcPr>
          <w:p w14:paraId="2122D2BD">
            <w:pPr>
              <w:widowControl/>
              <w:jc w:val="left"/>
              <w:rPr>
                <w:rFonts w:hint="eastAsia" w:ascii="宋体" w:hAnsi="宋体" w:cs="宋体"/>
                <w:color w:val="000000"/>
                <w:kern w:val="0"/>
                <w:sz w:val="22"/>
                <w:szCs w:val="22"/>
              </w:rPr>
            </w:pPr>
          </w:p>
        </w:tc>
      </w:tr>
      <w:tr w14:paraId="0BF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FDA37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740" w:type="pct"/>
            <w:vMerge w:val="continue"/>
            <w:vAlign w:val="center"/>
          </w:tcPr>
          <w:p w14:paraId="7D0ED898">
            <w:pPr>
              <w:widowControl/>
              <w:jc w:val="left"/>
              <w:rPr>
                <w:rFonts w:hint="eastAsia" w:ascii="宋体" w:hAnsi="宋体" w:cs="宋体"/>
                <w:color w:val="000000"/>
                <w:kern w:val="0"/>
                <w:sz w:val="22"/>
                <w:szCs w:val="22"/>
              </w:rPr>
            </w:pPr>
          </w:p>
        </w:tc>
        <w:tc>
          <w:tcPr>
            <w:tcW w:w="740" w:type="pct"/>
            <w:vMerge w:val="restart"/>
            <w:vAlign w:val="center"/>
          </w:tcPr>
          <w:p w14:paraId="5E17FF3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居民健康管理移动端</w:t>
            </w:r>
          </w:p>
        </w:tc>
        <w:tc>
          <w:tcPr>
            <w:tcW w:w="2041" w:type="pct"/>
            <w:vAlign w:val="center"/>
          </w:tcPr>
          <w:p w14:paraId="73B509E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我的档案</w:t>
            </w:r>
          </w:p>
        </w:tc>
        <w:tc>
          <w:tcPr>
            <w:tcW w:w="740" w:type="pct"/>
            <w:vMerge w:val="continue"/>
            <w:vAlign w:val="center"/>
          </w:tcPr>
          <w:p w14:paraId="319FFD5A">
            <w:pPr>
              <w:widowControl/>
              <w:jc w:val="left"/>
              <w:rPr>
                <w:rFonts w:hint="eastAsia" w:ascii="宋体" w:hAnsi="宋体" w:cs="宋体"/>
                <w:color w:val="000000"/>
                <w:kern w:val="0"/>
                <w:sz w:val="22"/>
                <w:szCs w:val="22"/>
              </w:rPr>
            </w:pPr>
          </w:p>
        </w:tc>
      </w:tr>
      <w:tr w14:paraId="0C5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4ABCF5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740" w:type="pct"/>
            <w:vMerge w:val="continue"/>
            <w:vAlign w:val="center"/>
          </w:tcPr>
          <w:p w14:paraId="571E1C38">
            <w:pPr>
              <w:widowControl/>
              <w:jc w:val="left"/>
              <w:rPr>
                <w:rFonts w:hint="eastAsia" w:ascii="宋体" w:hAnsi="宋体" w:cs="宋体"/>
                <w:color w:val="000000"/>
                <w:kern w:val="0"/>
                <w:sz w:val="22"/>
                <w:szCs w:val="22"/>
              </w:rPr>
            </w:pPr>
          </w:p>
        </w:tc>
        <w:tc>
          <w:tcPr>
            <w:tcW w:w="740" w:type="pct"/>
            <w:vMerge w:val="continue"/>
            <w:vAlign w:val="center"/>
          </w:tcPr>
          <w:p w14:paraId="7F932CAD">
            <w:pPr>
              <w:widowControl/>
              <w:jc w:val="left"/>
              <w:rPr>
                <w:rFonts w:hint="eastAsia" w:ascii="宋体" w:hAnsi="宋体" w:cs="宋体"/>
                <w:color w:val="000000"/>
                <w:kern w:val="0"/>
                <w:sz w:val="22"/>
                <w:szCs w:val="22"/>
              </w:rPr>
            </w:pPr>
          </w:p>
        </w:tc>
        <w:tc>
          <w:tcPr>
            <w:tcW w:w="2041" w:type="pct"/>
            <w:vAlign w:val="center"/>
          </w:tcPr>
          <w:p w14:paraId="6B2748A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健康管理</w:t>
            </w:r>
          </w:p>
        </w:tc>
        <w:tc>
          <w:tcPr>
            <w:tcW w:w="740" w:type="pct"/>
            <w:vMerge w:val="continue"/>
            <w:vAlign w:val="center"/>
          </w:tcPr>
          <w:p w14:paraId="237CA7C6">
            <w:pPr>
              <w:widowControl/>
              <w:jc w:val="left"/>
              <w:rPr>
                <w:rFonts w:hint="eastAsia" w:ascii="宋体" w:hAnsi="宋体" w:cs="宋体"/>
                <w:color w:val="000000"/>
                <w:kern w:val="0"/>
                <w:sz w:val="22"/>
                <w:szCs w:val="22"/>
              </w:rPr>
            </w:pPr>
          </w:p>
        </w:tc>
      </w:tr>
      <w:tr w14:paraId="3B38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77353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740" w:type="pct"/>
            <w:vMerge w:val="continue"/>
            <w:vAlign w:val="center"/>
          </w:tcPr>
          <w:p w14:paraId="2C33C85C">
            <w:pPr>
              <w:widowControl/>
              <w:jc w:val="left"/>
              <w:rPr>
                <w:rFonts w:hint="eastAsia" w:ascii="宋体" w:hAnsi="宋体" w:cs="宋体"/>
                <w:color w:val="000000"/>
                <w:kern w:val="0"/>
                <w:sz w:val="22"/>
                <w:szCs w:val="22"/>
              </w:rPr>
            </w:pPr>
          </w:p>
        </w:tc>
        <w:tc>
          <w:tcPr>
            <w:tcW w:w="740" w:type="pct"/>
            <w:vMerge w:val="continue"/>
            <w:vAlign w:val="center"/>
          </w:tcPr>
          <w:p w14:paraId="1BC85AA6">
            <w:pPr>
              <w:widowControl/>
              <w:jc w:val="left"/>
              <w:rPr>
                <w:rFonts w:hint="eastAsia" w:ascii="宋体" w:hAnsi="宋体" w:cs="宋体"/>
                <w:color w:val="000000"/>
                <w:kern w:val="0"/>
                <w:sz w:val="22"/>
                <w:szCs w:val="22"/>
              </w:rPr>
            </w:pPr>
          </w:p>
        </w:tc>
        <w:tc>
          <w:tcPr>
            <w:tcW w:w="2041" w:type="pct"/>
            <w:vAlign w:val="center"/>
          </w:tcPr>
          <w:p w14:paraId="2297387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AI健康宣教</w:t>
            </w:r>
          </w:p>
        </w:tc>
        <w:tc>
          <w:tcPr>
            <w:tcW w:w="740" w:type="pct"/>
            <w:vMerge w:val="continue"/>
            <w:vAlign w:val="center"/>
          </w:tcPr>
          <w:p w14:paraId="520AAEC0">
            <w:pPr>
              <w:widowControl/>
              <w:jc w:val="left"/>
              <w:rPr>
                <w:rFonts w:hint="eastAsia" w:ascii="宋体" w:hAnsi="宋体" w:cs="宋体"/>
                <w:color w:val="000000"/>
                <w:kern w:val="0"/>
                <w:sz w:val="22"/>
                <w:szCs w:val="22"/>
              </w:rPr>
            </w:pPr>
          </w:p>
        </w:tc>
      </w:tr>
      <w:tr w14:paraId="25D1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2826D3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740" w:type="pct"/>
            <w:vMerge w:val="continue"/>
            <w:vAlign w:val="center"/>
          </w:tcPr>
          <w:p w14:paraId="1D99C0A6">
            <w:pPr>
              <w:widowControl/>
              <w:jc w:val="left"/>
              <w:rPr>
                <w:rFonts w:hint="eastAsia" w:ascii="宋体" w:hAnsi="宋体" w:cs="宋体"/>
                <w:color w:val="000000"/>
                <w:kern w:val="0"/>
                <w:sz w:val="22"/>
                <w:szCs w:val="22"/>
              </w:rPr>
            </w:pPr>
          </w:p>
        </w:tc>
        <w:tc>
          <w:tcPr>
            <w:tcW w:w="740" w:type="pct"/>
            <w:vMerge w:val="continue"/>
            <w:vAlign w:val="center"/>
          </w:tcPr>
          <w:p w14:paraId="43841A0A">
            <w:pPr>
              <w:widowControl/>
              <w:jc w:val="left"/>
              <w:rPr>
                <w:rFonts w:hint="eastAsia" w:ascii="宋体" w:hAnsi="宋体" w:cs="宋体"/>
                <w:color w:val="000000"/>
                <w:kern w:val="0"/>
                <w:sz w:val="22"/>
                <w:szCs w:val="22"/>
              </w:rPr>
            </w:pPr>
          </w:p>
        </w:tc>
        <w:tc>
          <w:tcPr>
            <w:tcW w:w="2041" w:type="pct"/>
            <w:vAlign w:val="center"/>
          </w:tcPr>
          <w:p w14:paraId="7C21D6D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服务预约</w:t>
            </w:r>
          </w:p>
        </w:tc>
        <w:tc>
          <w:tcPr>
            <w:tcW w:w="740" w:type="pct"/>
            <w:vMerge w:val="continue"/>
            <w:vAlign w:val="center"/>
          </w:tcPr>
          <w:p w14:paraId="12A18A0B">
            <w:pPr>
              <w:widowControl/>
              <w:jc w:val="left"/>
              <w:rPr>
                <w:rFonts w:hint="eastAsia" w:ascii="宋体" w:hAnsi="宋体" w:cs="宋体"/>
                <w:color w:val="000000"/>
                <w:kern w:val="0"/>
                <w:sz w:val="22"/>
                <w:szCs w:val="22"/>
              </w:rPr>
            </w:pPr>
          </w:p>
        </w:tc>
      </w:tr>
      <w:tr w14:paraId="41EA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9BDE61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740" w:type="pct"/>
            <w:vMerge w:val="continue"/>
            <w:vAlign w:val="center"/>
          </w:tcPr>
          <w:p w14:paraId="092E0F58">
            <w:pPr>
              <w:widowControl/>
              <w:jc w:val="left"/>
              <w:rPr>
                <w:rFonts w:hint="eastAsia" w:ascii="宋体" w:hAnsi="宋体" w:cs="宋体"/>
                <w:color w:val="000000"/>
                <w:kern w:val="0"/>
                <w:sz w:val="22"/>
                <w:szCs w:val="22"/>
              </w:rPr>
            </w:pPr>
          </w:p>
        </w:tc>
        <w:tc>
          <w:tcPr>
            <w:tcW w:w="740" w:type="pct"/>
            <w:vMerge w:val="continue"/>
            <w:vAlign w:val="center"/>
          </w:tcPr>
          <w:p w14:paraId="28911105">
            <w:pPr>
              <w:widowControl/>
              <w:jc w:val="left"/>
              <w:rPr>
                <w:rFonts w:hint="eastAsia" w:ascii="宋体" w:hAnsi="宋体" w:cs="宋体"/>
                <w:color w:val="000000"/>
                <w:kern w:val="0"/>
                <w:sz w:val="22"/>
                <w:szCs w:val="22"/>
              </w:rPr>
            </w:pPr>
          </w:p>
        </w:tc>
        <w:tc>
          <w:tcPr>
            <w:tcW w:w="2041" w:type="pct"/>
            <w:vAlign w:val="center"/>
          </w:tcPr>
          <w:p w14:paraId="44E52D8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智能导诊</w:t>
            </w:r>
          </w:p>
        </w:tc>
        <w:tc>
          <w:tcPr>
            <w:tcW w:w="740" w:type="pct"/>
            <w:vMerge w:val="continue"/>
            <w:vAlign w:val="center"/>
          </w:tcPr>
          <w:p w14:paraId="66D88619">
            <w:pPr>
              <w:widowControl/>
              <w:jc w:val="left"/>
              <w:rPr>
                <w:rFonts w:hint="eastAsia" w:ascii="宋体" w:hAnsi="宋体" w:cs="宋体"/>
                <w:color w:val="000000"/>
                <w:kern w:val="0"/>
                <w:sz w:val="22"/>
                <w:szCs w:val="22"/>
              </w:rPr>
            </w:pPr>
          </w:p>
        </w:tc>
      </w:tr>
      <w:tr w14:paraId="6FBD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BCBC86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740" w:type="pct"/>
            <w:vMerge w:val="continue"/>
            <w:vAlign w:val="center"/>
          </w:tcPr>
          <w:p w14:paraId="47E14710">
            <w:pPr>
              <w:widowControl/>
              <w:jc w:val="left"/>
              <w:rPr>
                <w:rFonts w:hint="eastAsia" w:ascii="宋体" w:hAnsi="宋体" w:cs="宋体"/>
                <w:color w:val="000000"/>
                <w:kern w:val="0"/>
                <w:sz w:val="22"/>
                <w:szCs w:val="22"/>
              </w:rPr>
            </w:pPr>
          </w:p>
        </w:tc>
        <w:tc>
          <w:tcPr>
            <w:tcW w:w="740" w:type="pct"/>
            <w:vMerge w:val="continue"/>
            <w:vAlign w:val="center"/>
          </w:tcPr>
          <w:p w14:paraId="776211F3">
            <w:pPr>
              <w:widowControl/>
              <w:jc w:val="left"/>
              <w:rPr>
                <w:rFonts w:hint="eastAsia" w:ascii="宋体" w:hAnsi="宋体" w:cs="宋体"/>
                <w:color w:val="000000"/>
                <w:kern w:val="0"/>
                <w:sz w:val="22"/>
                <w:szCs w:val="22"/>
              </w:rPr>
            </w:pPr>
          </w:p>
        </w:tc>
        <w:tc>
          <w:tcPr>
            <w:tcW w:w="2041" w:type="pct"/>
            <w:vAlign w:val="center"/>
          </w:tcPr>
          <w:p w14:paraId="2DCB133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健康咨询 </w:t>
            </w:r>
          </w:p>
        </w:tc>
        <w:tc>
          <w:tcPr>
            <w:tcW w:w="740" w:type="pct"/>
            <w:vMerge w:val="continue"/>
            <w:vAlign w:val="center"/>
          </w:tcPr>
          <w:p w14:paraId="7CCADE95">
            <w:pPr>
              <w:widowControl/>
              <w:jc w:val="left"/>
              <w:rPr>
                <w:rFonts w:hint="eastAsia" w:ascii="宋体" w:hAnsi="宋体" w:cs="宋体"/>
                <w:color w:val="000000"/>
                <w:kern w:val="0"/>
                <w:sz w:val="22"/>
                <w:szCs w:val="22"/>
              </w:rPr>
            </w:pPr>
          </w:p>
        </w:tc>
      </w:tr>
      <w:tr w14:paraId="30C1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A692F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740" w:type="pct"/>
            <w:vMerge w:val="continue"/>
            <w:vAlign w:val="center"/>
          </w:tcPr>
          <w:p w14:paraId="04084DD9">
            <w:pPr>
              <w:widowControl/>
              <w:jc w:val="left"/>
              <w:rPr>
                <w:rFonts w:hint="eastAsia" w:ascii="宋体" w:hAnsi="宋体" w:cs="宋体"/>
                <w:color w:val="000000"/>
                <w:kern w:val="0"/>
                <w:sz w:val="22"/>
                <w:szCs w:val="22"/>
              </w:rPr>
            </w:pPr>
          </w:p>
        </w:tc>
        <w:tc>
          <w:tcPr>
            <w:tcW w:w="740" w:type="pct"/>
            <w:vMerge w:val="continue"/>
            <w:vAlign w:val="center"/>
          </w:tcPr>
          <w:p w14:paraId="3FC60EF4">
            <w:pPr>
              <w:widowControl/>
              <w:jc w:val="left"/>
              <w:rPr>
                <w:rFonts w:hint="eastAsia" w:ascii="宋体" w:hAnsi="宋体" w:cs="宋体"/>
                <w:color w:val="000000"/>
                <w:kern w:val="0"/>
                <w:sz w:val="22"/>
                <w:szCs w:val="22"/>
              </w:rPr>
            </w:pPr>
          </w:p>
        </w:tc>
        <w:tc>
          <w:tcPr>
            <w:tcW w:w="2041" w:type="pct"/>
            <w:vAlign w:val="center"/>
          </w:tcPr>
          <w:p w14:paraId="4DA55A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智能健康评估报告</w:t>
            </w:r>
          </w:p>
        </w:tc>
        <w:tc>
          <w:tcPr>
            <w:tcW w:w="740" w:type="pct"/>
            <w:vMerge w:val="continue"/>
            <w:vAlign w:val="center"/>
          </w:tcPr>
          <w:p w14:paraId="1B1EE241">
            <w:pPr>
              <w:widowControl/>
              <w:jc w:val="left"/>
              <w:rPr>
                <w:rFonts w:hint="eastAsia" w:ascii="宋体" w:hAnsi="宋体" w:cs="宋体"/>
                <w:color w:val="000000"/>
                <w:kern w:val="0"/>
                <w:sz w:val="22"/>
                <w:szCs w:val="22"/>
              </w:rPr>
            </w:pPr>
          </w:p>
        </w:tc>
      </w:tr>
      <w:tr w14:paraId="1F6A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6231AA7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740" w:type="pct"/>
            <w:vMerge w:val="continue"/>
            <w:vAlign w:val="center"/>
          </w:tcPr>
          <w:p w14:paraId="4B33E703">
            <w:pPr>
              <w:widowControl/>
              <w:jc w:val="left"/>
              <w:rPr>
                <w:rFonts w:hint="eastAsia" w:ascii="宋体" w:hAnsi="宋体" w:cs="宋体"/>
                <w:color w:val="000000"/>
                <w:kern w:val="0"/>
                <w:sz w:val="22"/>
                <w:szCs w:val="22"/>
              </w:rPr>
            </w:pPr>
          </w:p>
        </w:tc>
        <w:tc>
          <w:tcPr>
            <w:tcW w:w="740" w:type="pct"/>
            <w:vMerge w:val="continue"/>
            <w:vAlign w:val="center"/>
          </w:tcPr>
          <w:p w14:paraId="28D90769">
            <w:pPr>
              <w:widowControl/>
              <w:jc w:val="left"/>
              <w:rPr>
                <w:rFonts w:hint="eastAsia" w:ascii="宋体" w:hAnsi="宋体" w:cs="宋体"/>
                <w:color w:val="000000"/>
                <w:kern w:val="0"/>
                <w:sz w:val="22"/>
                <w:szCs w:val="22"/>
              </w:rPr>
            </w:pPr>
          </w:p>
        </w:tc>
        <w:tc>
          <w:tcPr>
            <w:tcW w:w="2041" w:type="pct"/>
            <w:vAlign w:val="center"/>
          </w:tcPr>
          <w:p w14:paraId="2220C3C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健康指导</w:t>
            </w:r>
          </w:p>
        </w:tc>
        <w:tc>
          <w:tcPr>
            <w:tcW w:w="740" w:type="pct"/>
            <w:vMerge w:val="continue"/>
            <w:vAlign w:val="center"/>
          </w:tcPr>
          <w:p w14:paraId="3680FFBA">
            <w:pPr>
              <w:widowControl/>
              <w:jc w:val="left"/>
              <w:rPr>
                <w:rFonts w:hint="eastAsia" w:ascii="宋体" w:hAnsi="宋体" w:cs="宋体"/>
                <w:color w:val="000000"/>
                <w:kern w:val="0"/>
                <w:sz w:val="22"/>
                <w:szCs w:val="22"/>
              </w:rPr>
            </w:pPr>
          </w:p>
        </w:tc>
      </w:tr>
      <w:tr w14:paraId="1B77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254CC64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740" w:type="pct"/>
            <w:vMerge w:val="continue"/>
            <w:vAlign w:val="center"/>
          </w:tcPr>
          <w:p w14:paraId="17B51109">
            <w:pPr>
              <w:widowControl/>
              <w:jc w:val="left"/>
              <w:rPr>
                <w:rFonts w:hint="eastAsia" w:ascii="宋体" w:hAnsi="宋体" w:cs="宋体"/>
                <w:color w:val="000000"/>
                <w:kern w:val="0"/>
                <w:sz w:val="22"/>
                <w:szCs w:val="22"/>
              </w:rPr>
            </w:pPr>
          </w:p>
        </w:tc>
        <w:tc>
          <w:tcPr>
            <w:tcW w:w="740" w:type="pct"/>
            <w:vMerge w:val="continue"/>
            <w:vAlign w:val="center"/>
          </w:tcPr>
          <w:p w14:paraId="3495659A">
            <w:pPr>
              <w:widowControl/>
              <w:jc w:val="left"/>
              <w:rPr>
                <w:rFonts w:hint="eastAsia" w:ascii="宋体" w:hAnsi="宋体" w:cs="宋体"/>
                <w:color w:val="000000"/>
                <w:kern w:val="0"/>
                <w:sz w:val="22"/>
                <w:szCs w:val="22"/>
              </w:rPr>
            </w:pPr>
          </w:p>
        </w:tc>
        <w:tc>
          <w:tcPr>
            <w:tcW w:w="2041" w:type="pct"/>
            <w:vAlign w:val="center"/>
          </w:tcPr>
          <w:p w14:paraId="01049AA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智能用药提醒</w:t>
            </w:r>
          </w:p>
        </w:tc>
        <w:tc>
          <w:tcPr>
            <w:tcW w:w="740" w:type="pct"/>
            <w:vMerge w:val="continue"/>
            <w:vAlign w:val="center"/>
          </w:tcPr>
          <w:p w14:paraId="0C375911">
            <w:pPr>
              <w:widowControl/>
              <w:jc w:val="left"/>
              <w:rPr>
                <w:rFonts w:hint="eastAsia" w:ascii="宋体" w:hAnsi="宋体" w:cs="宋体"/>
                <w:color w:val="000000"/>
                <w:kern w:val="0"/>
                <w:sz w:val="22"/>
                <w:szCs w:val="22"/>
              </w:rPr>
            </w:pPr>
          </w:p>
        </w:tc>
      </w:tr>
      <w:tr w14:paraId="22A7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FA9AC8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740" w:type="pct"/>
            <w:vMerge w:val="continue"/>
            <w:vAlign w:val="center"/>
          </w:tcPr>
          <w:p w14:paraId="5AFD5366">
            <w:pPr>
              <w:widowControl/>
              <w:jc w:val="left"/>
              <w:rPr>
                <w:rFonts w:hint="eastAsia" w:ascii="宋体" w:hAnsi="宋体" w:cs="宋体"/>
                <w:color w:val="000000"/>
                <w:kern w:val="0"/>
                <w:sz w:val="22"/>
                <w:szCs w:val="22"/>
              </w:rPr>
            </w:pPr>
          </w:p>
        </w:tc>
        <w:tc>
          <w:tcPr>
            <w:tcW w:w="740" w:type="pct"/>
            <w:vMerge w:val="continue"/>
            <w:vAlign w:val="center"/>
          </w:tcPr>
          <w:p w14:paraId="4952CE60">
            <w:pPr>
              <w:widowControl/>
              <w:jc w:val="left"/>
              <w:rPr>
                <w:rFonts w:hint="eastAsia" w:ascii="宋体" w:hAnsi="宋体" w:cs="宋体"/>
                <w:color w:val="000000"/>
                <w:kern w:val="0"/>
                <w:sz w:val="22"/>
                <w:szCs w:val="22"/>
              </w:rPr>
            </w:pPr>
          </w:p>
        </w:tc>
        <w:tc>
          <w:tcPr>
            <w:tcW w:w="2041" w:type="pct"/>
            <w:vAlign w:val="center"/>
          </w:tcPr>
          <w:p w14:paraId="07A43ED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满意度评价</w:t>
            </w:r>
          </w:p>
        </w:tc>
        <w:tc>
          <w:tcPr>
            <w:tcW w:w="740" w:type="pct"/>
            <w:vMerge w:val="continue"/>
            <w:vAlign w:val="center"/>
          </w:tcPr>
          <w:p w14:paraId="7826CBE9">
            <w:pPr>
              <w:widowControl/>
              <w:jc w:val="left"/>
              <w:rPr>
                <w:rFonts w:hint="eastAsia" w:ascii="宋体" w:hAnsi="宋体" w:cs="宋体"/>
                <w:color w:val="000000"/>
                <w:kern w:val="0"/>
                <w:sz w:val="22"/>
                <w:szCs w:val="22"/>
              </w:rPr>
            </w:pPr>
          </w:p>
        </w:tc>
      </w:tr>
      <w:tr w14:paraId="0B00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D527A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740" w:type="pct"/>
            <w:vMerge w:val="continue"/>
            <w:vAlign w:val="center"/>
          </w:tcPr>
          <w:p w14:paraId="1E862395">
            <w:pPr>
              <w:widowControl/>
              <w:jc w:val="left"/>
              <w:rPr>
                <w:rFonts w:hint="eastAsia" w:ascii="宋体" w:hAnsi="宋体" w:cs="宋体"/>
                <w:color w:val="000000"/>
                <w:kern w:val="0"/>
                <w:sz w:val="22"/>
                <w:szCs w:val="22"/>
              </w:rPr>
            </w:pPr>
          </w:p>
        </w:tc>
        <w:tc>
          <w:tcPr>
            <w:tcW w:w="740" w:type="pct"/>
            <w:vMerge w:val="restart"/>
            <w:vAlign w:val="center"/>
          </w:tcPr>
          <w:p w14:paraId="4144D34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接口对接</w:t>
            </w:r>
          </w:p>
        </w:tc>
        <w:tc>
          <w:tcPr>
            <w:tcW w:w="2041" w:type="pct"/>
            <w:vAlign w:val="center"/>
          </w:tcPr>
          <w:p w14:paraId="2947758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公共卫生系统</w:t>
            </w:r>
          </w:p>
        </w:tc>
        <w:tc>
          <w:tcPr>
            <w:tcW w:w="740" w:type="pct"/>
            <w:vMerge w:val="continue"/>
            <w:vAlign w:val="center"/>
          </w:tcPr>
          <w:p w14:paraId="43692693">
            <w:pPr>
              <w:widowControl/>
              <w:jc w:val="left"/>
              <w:rPr>
                <w:rFonts w:hint="eastAsia" w:ascii="宋体" w:hAnsi="宋体" w:cs="宋体"/>
                <w:color w:val="000000"/>
                <w:kern w:val="0"/>
                <w:sz w:val="22"/>
                <w:szCs w:val="22"/>
              </w:rPr>
            </w:pPr>
          </w:p>
        </w:tc>
      </w:tr>
      <w:tr w14:paraId="3DDC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927E4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740" w:type="pct"/>
            <w:vMerge w:val="continue"/>
            <w:vAlign w:val="center"/>
          </w:tcPr>
          <w:p w14:paraId="116BA94B">
            <w:pPr>
              <w:widowControl/>
              <w:jc w:val="left"/>
              <w:rPr>
                <w:rFonts w:hint="eastAsia" w:ascii="宋体" w:hAnsi="宋体" w:cs="宋体"/>
                <w:color w:val="000000"/>
                <w:kern w:val="0"/>
                <w:sz w:val="22"/>
                <w:szCs w:val="22"/>
              </w:rPr>
            </w:pPr>
          </w:p>
        </w:tc>
        <w:tc>
          <w:tcPr>
            <w:tcW w:w="740" w:type="pct"/>
            <w:vMerge w:val="continue"/>
            <w:vAlign w:val="center"/>
          </w:tcPr>
          <w:p w14:paraId="3C4EC8C8">
            <w:pPr>
              <w:widowControl/>
              <w:jc w:val="left"/>
              <w:rPr>
                <w:rFonts w:hint="eastAsia" w:ascii="宋体" w:hAnsi="宋体" w:cs="宋体"/>
                <w:color w:val="000000"/>
                <w:kern w:val="0"/>
                <w:sz w:val="22"/>
                <w:szCs w:val="22"/>
              </w:rPr>
            </w:pPr>
          </w:p>
        </w:tc>
        <w:tc>
          <w:tcPr>
            <w:tcW w:w="2041" w:type="pct"/>
            <w:vAlign w:val="center"/>
          </w:tcPr>
          <w:p w14:paraId="4E97ACE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家庭医生签约系统</w:t>
            </w:r>
          </w:p>
        </w:tc>
        <w:tc>
          <w:tcPr>
            <w:tcW w:w="740" w:type="pct"/>
            <w:vMerge w:val="continue"/>
            <w:vAlign w:val="center"/>
          </w:tcPr>
          <w:p w14:paraId="0A0EDA85">
            <w:pPr>
              <w:widowControl/>
              <w:jc w:val="left"/>
              <w:rPr>
                <w:rFonts w:hint="eastAsia" w:ascii="宋体" w:hAnsi="宋体" w:cs="宋体"/>
                <w:color w:val="000000"/>
                <w:kern w:val="0"/>
                <w:sz w:val="22"/>
                <w:szCs w:val="22"/>
              </w:rPr>
            </w:pPr>
          </w:p>
        </w:tc>
      </w:tr>
      <w:tr w14:paraId="2303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3F4D088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740" w:type="pct"/>
            <w:vMerge w:val="continue"/>
            <w:vAlign w:val="center"/>
          </w:tcPr>
          <w:p w14:paraId="74211E2A">
            <w:pPr>
              <w:widowControl/>
              <w:jc w:val="left"/>
              <w:rPr>
                <w:rFonts w:hint="eastAsia" w:ascii="宋体" w:hAnsi="宋体" w:cs="宋体"/>
                <w:color w:val="000000"/>
                <w:kern w:val="0"/>
                <w:sz w:val="22"/>
                <w:szCs w:val="22"/>
              </w:rPr>
            </w:pPr>
          </w:p>
        </w:tc>
        <w:tc>
          <w:tcPr>
            <w:tcW w:w="740" w:type="pct"/>
            <w:vMerge w:val="continue"/>
            <w:vAlign w:val="center"/>
          </w:tcPr>
          <w:p w14:paraId="24515B59">
            <w:pPr>
              <w:widowControl/>
              <w:jc w:val="left"/>
              <w:rPr>
                <w:rFonts w:hint="eastAsia" w:ascii="宋体" w:hAnsi="宋体" w:cs="宋体"/>
                <w:color w:val="000000"/>
                <w:kern w:val="0"/>
                <w:sz w:val="22"/>
                <w:szCs w:val="22"/>
              </w:rPr>
            </w:pPr>
          </w:p>
        </w:tc>
        <w:tc>
          <w:tcPr>
            <w:tcW w:w="2041" w:type="pct"/>
            <w:vAlign w:val="center"/>
          </w:tcPr>
          <w:p w14:paraId="23B6BE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HIS系统</w:t>
            </w:r>
          </w:p>
        </w:tc>
        <w:tc>
          <w:tcPr>
            <w:tcW w:w="740" w:type="pct"/>
            <w:vMerge w:val="continue"/>
            <w:vAlign w:val="center"/>
          </w:tcPr>
          <w:p w14:paraId="5DD9A4C0">
            <w:pPr>
              <w:widowControl/>
              <w:jc w:val="left"/>
              <w:rPr>
                <w:rFonts w:hint="eastAsia" w:ascii="宋体" w:hAnsi="宋体" w:cs="宋体"/>
                <w:color w:val="000000"/>
                <w:kern w:val="0"/>
                <w:sz w:val="22"/>
                <w:szCs w:val="22"/>
              </w:rPr>
            </w:pPr>
          </w:p>
        </w:tc>
      </w:tr>
      <w:tr w14:paraId="4B73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FBFB6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740" w:type="pct"/>
            <w:vMerge w:val="continue"/>
            <w:vAlign w:val="center"/>
          </w:tcPr>
          <w:p w14:paraId="3E7B910A">
            <w:pPr>
              <w:widowControl/>
              <w:jc w:val="left"/>
              <w:rPr>
                <w:rFonts w:hint="eastAsia" w:ascii="宋体" w:hAnsi="宋体" w:cs="宋体"/>
                <w:color w:val="000000"/>
                <w:kern w:val="0"/>
                <w:sz w:val="22"/>
                <w:szCs w:val="22"/>
              </w:rPr>
            </w:pPr>
          </w:p>
        </w:tc>
        <w:tc>
          <w:tcPr>
            <w:tcW w:w="740" w:type="pct"/>
            <w:vMerge w:val="continue"/>
            <w:vAlign w:val="center"/>
          </w:tcPr>
          <w:p w14:paraId="50A23D59">
            <w:pPr>
              <w:widowControl/>
              <w:jc w:val="left"/>
              <w:rPr>
                <w:rFonts w:hint="eastAsia" w:ascii="宋体" w:hAnsi="宋体" w:cs="宋体"/>
                <w:color w:val="000000"/>
                <w:kern w:val="0"/>
                <w:sz w:val="22"/>
                <w:szCs w:val="22"/>
              </w:rPr>
            </w:pPr>
          </w:p>
        </w:tc>
        <w:tc>
          <w:tcPr>
            <w:tcW w:w="2041" w:type="pct"/>
            <w:vAlign w:val="center"/>
          </w:tcPr>
          <w:p w14:paraId="4B52949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医共体平台接口</w:t>
            </w:r>
          </w:p>
        </w:tc>
        <w:tc>
          <w:tcPr>
            <w:tcW w:w="740" w:type="pct"/>
            <w:vMerge w:val="continue"/>
            <w:vAlign w:val="center"/>
          </w:tcPr>
          <w:p w14:paraId="1B50C07C">
            <w:pPr>
              <w:widowControl/>
              <w:jc w:val="left"/>
              <w:rPr>
                <w:rFonts w:hint="eastAsia" w:ascii="宋体" w:hAnsi="宋体" w:cs="宋体"/>
                <w:color w:val="000000"/>
                <w:kern w:val="0"/>
                <w:sz w:val="22"/>
                <w:szCs w:val="22"/>
              </w:rPr>
            </w:pPr>
          </w:p>
        </w:tc>
      </w:tr>
      <w:tr w14:paraId="162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9E55E0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740" w:type="pct"/>
            <w:vMerge w:val="continue"/>
            <w:vAlign w:val="center"/>
          </w:tcPr>
          <w:p w14:paraId="4ABA9DBB">
            <w:pPr>
              <w:widowControl/>
              <w:jc w:val="left"/>
              <w:rPr>
                <w:rFonts w:hint="eastAsia" w:ascii="宋体" w:hAnsi="宋体" w:cs="宋体"/>
                <w:color w:val="000000"/>
                <w:kern w:val="0"/>
                <w:sz w:val="22"/>
                <w:szCs w:val="22"/>
              </w:rPr>
            </w:pPr>
          </w:p>
        </w:tc>
        <w:tc>
          <w:tcPr>
            <w:tcW w:w="740" w:type="pct"/>
            <w:vMerge w:val="restart"/>
            <w:vAlign w:val="center"/>
          </w:tcPr>
          <w:p w14:paraId="291A370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增值应用</w:t>
            </w:r>
          </w:p>
        </w:tc>
        <w:tc>
          <w:tcPr>
            <w:tcW w:w="2041" w:type="pct"/>
            <w:shd w:val="clear" w:color="000000" w:fill="FFFFFF"/>
            <w:vAlign w:val="center"/>
          </w:tcPr>
          <w:p w14:paraId="702BB7A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积分应用</w:t>
            </w:r>
          </w:p>
        </w:tc>
        <w:tc>
          <w:tcPr>
            <w:tcW w:w="740" w:type="pct"/>
            <w:vMerge w:val="continue"/>
            <w:vAlign w:val="center"/>
          </w:tcPr>
          <w:p w14:paraId="5DA60540">
            <w:pPr>
              <w:widowControl/>
              <w:jc w:val="left"/>
              <w:rPr>
                <w:rFonts w:hint="eastAsia" w:ascii="宋体" w:hAnsi="宋体" w:cs="宋体"/>
                <w:color w:val="000000"/>
                <w:kern w:val="0"/>
                <w:sz w:val="22"/>
                <w:szCs w:val="22"/>
              </w:rPr>
            </w:pPr>
          </w:p>
        </w:tc>
      </w:tr>
      <w:tr w14:paraId="7D7F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7DBEC7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740" w:type="pct"/>
            <w:vMerge w:val="continue"/>
            <w:vAlign w:val="center"/>
          </w:tcPr>
          <w:p w14:paraId="5FF855FC">
            <w:pPr>
              <w:widowControl/>
              <w:jc w:val="left"/>
              <w:rPr>
                <w:rFonts w:hint="eastAsia" w:ascii="宋体" w:hAnsi="宋体" w:cs="宋体"/>
                <w:color w:val="000000"/>
                <w:kern w:val="0"/>
                <w:sz w:val="22"/>
                <w:szCs w:val="22"/>
              </w:rPr>
            </w:pPr>
          </w:p>
        </w:tc>
        <w:tc>
          <w:tcPr>
            <w:tcW w:w="740" w:type="pct"/>
            <w:vMerge w:val="continue"/>
            <w:vAlign w:val="center"/>
          </w:tcPr>
          <w:p w14:paraId="08AD9396">
            <w:pPr>
              <w:widowControl/>
              <w:jc w:val="left"/>
              <w:rPr>
                <w:rFonts w:hint="eastAsia" w:ascii="宋体" w:hAnsi="宋体" w:cs="宋体"/>
                <w:color w:val="000000"/>
                <w:kern w:val="0"/>
                <w:sz w:val="22"/>
                <w:szCs w:val="22"/>
              </w:rPr>
            </w:pPr>
          </w:p>
        </w:tc>
        <w:tc>
          <w:tcPr>
            <w:tcW w:w="2041" w:type="pct"/>
            <w:shd w:val="clear" w:color="000000" w:fill="FFFFFF"/>
            <w:vAlign w:val="center"/>
          </w:tcPr>
          <w:p w14:paraId="67DE187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增值包应用</w:t>
            </w:r>
          </w:p>
        </w:tc>
        <w:tc>
          <w:tcPr>
            <w:tcW w:w="740" w:type="pct"/>
            <w:vMerge w:val="continue"/>
            <w:vAlign w:val="center"/>
          </w:tcPr>
          <w:p w14:paraId="774E0CF4">
            <w:pPr>
              <w:widowControl/>
              <w:jc w:val="left"/>
              <w:rPr>
                <w:rFonts w:hint="eastAsia" w:ascii="宋体" w:hAnsi="宋体" w:cs="宋体"/>
                <w:color w:val="000000"/>
                <w:kern w:val="0"/>
                <w:sz w:val="22"/>
                <w:szCs w:val="22"/>
              </w:rPr>
            </w:pPr>
          </w:p>
        </w:tc>
      </w:tr>
      <w:tr w14:paraId="29F5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74D2EF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740" w:type="pct"/>
            <w:vMerge w:val="restart"/>
            <w:vAlign w:val="center"/>
          </w:tcPr>
          <w:p w14:paraId="633024E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排队叫号系统</w:t>
            </w:r>
          </w:p>
        </w:tc>
        <w:tc>
          <w:tcPr>
            <w:tcW w:w="2781" w:type="pct"/>
            <w:gridSpan w:val="2"/>
            <w:shd w:val="clear" w:color="000000" w:fill="FFFFFF"/>
            <w:vAlign w:val="center"/>
          </w:tcPr>
          <w:p w14:paraId="202E3C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门诊排队叫号系统</w:t>
            </w:r>
          </w:p>
        </w:tc>
        <w:tc>
          <w:tcPr>
            <w:tcW w:w="740" w:type="pct"/>
            <w:vMerge w:val="restart"/>
            <w:vAlign w:val="center"/>
          </w:tcPr>
          <w:p w14:paraId="2BC9CA7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1套</w:t>
            </w:r>
          </w:p>
        </w:tc>
      </w:tr>
      <w:tr w14:paraId="4728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8DB32E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740" w:type="pct"/>
            <w:vMerge w:val="continue"/>
            <w:vAlign w:val="center"/>
          </w:tcPr>
          <w:p w14:paraId="3C4D0D16">
            <w:pPr>
              <w:widowControl/>
              <w:jc w:val="left"/>
              <w:rPr>
                <w:rFonts w:hint="eastAsia" w:ascii="宋体" w:hAnsi="宋体" w:cs="宋体"/>
                <w:color w:val="000000"/>
                <w:kern w:val="0"/>
                <w:sz w:val="22"/>
                <w:szCs w:val="22"/>
              </w:rPr>
            </w:pPr>
          </w:p>
        </w:tc>
        <w:tc>
          <w:tcPr>
            <w:tcW w:w="2781" w:type="pct"/>
            <w:gridSpan w:val="2"/>
            <w:shd w:val="clear" w:color="000000" w:fill="FFFFFF"/>
            <w:vAlign w:val="center"/>
          </w:tcPr>
          <w:p w14:paraId="51F0A03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医技检查排队系统</w:t>
            </w:r>
          </w:p>
        </w:tc>
        <w:tc>
          <w:tcPr>
            <w:tcW w:w="740" w:type="pct"/>
            <w:vMerge w:val="continue"/>
            <w:vAlign w:val="center"/>
          </w:tcPr>
          <w:p w14:paraId="24AB66B6">
            <w:pPr>
              <w:widowControl/>
              <w:jc w:val="left"/>
              <w:rPr>
                <w:rFonts w:hint="eastAsia" w:ascii="宋体" w:hAnsi="宋体" w:cs="宋体"/>
                <w:color w:val="000000"/>
                <w:kern w:val="0"/>
                <w:sz w:val="22"/>
                <w:szCs w:val="22"/>
              </w:rPr>
            </w:pPr>
          </w:p>
        </w:tc>
      </w:tr>
      <w:tr w14:paraId="6188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0F64F69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740" w:type="pct"/>
            <w:vMerge w:val="continue"/>
            <w:vAlign w:val="center"/>
          </w:tcPr>
          <w:p w14:paraId="35F7D5D1">
            <w:pPr>
              <w:widowControl/>
              <w:jc w:val="left"/>
              <w:rPr>
                <w:rFonts w:hint="eastAsia" w:ascii="宋体" w:hAnsi="宋体" w:cs="宋体"/>
                <w:color w:val="000000"/>
                <w:kern w:val="0"/>
                <w:sz w:val="22"/>
                <w:szCs w:val="22"/>
              </w:rPr>
            </w:pPr>
          </w:p>
        </w:tc>
        <w:tc>
          <w:tcPr>
            <w:tcW w:w="2781" w:type="pct"/>
            <w:gridSpan w:val="2"/>
            <w:shd w:val="clear" w:color="000000" w:fill="FFFFFF"/>
            <w:vAlign w:val="center"/>
          </w:tcPr>
          <w:p w14:paraId="2848859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 药房排队叫号系统</w:t>
            </w:r>
          </w:p>
        </w:tc>
        <w:tc>
          <w:tcPr>
            <w:tcW w:w="740" w:type="pct"/>
            <w:vMerge w:val="continue"/>
            <w:vAlign w:val="center"/>
          </w:tcPr>
          <w:p w14:paraId="1DF7D7C5">
            <w:pPr>
              <w:widowControl/>
              <w:jc w:val="left"/>
              <w:rPr>
                <w:rFonts w:hint="eastAsia" w:ascii="宋体" w:hAnsi="宋体" w:cs="宋体"/>
                <w:color w:val="000000"/>
                <w:kern w:val="0"/>
                <w:sz w:val="22"/>
                <w:szCs w:val="22"/>
              </w:rPr>
            </w:pPr>
          </w:p>
        </w:tc>
      </w:tr>
      <w:tr w14:paraId="5776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1345C00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740" w:type="pct"/>
            <w:vMerge w:val="continue"/>
            <w:vAlign w:val="center"/>
          </w:tcPr>
          <w:p w14:paraId="2AB32DEA">
            <w:pPr>
              <w:widowControl/>
              <w:jc w:val="left"/>
              <w:rPr>
                <w:rFonts w:hint="eastAsia" w:ascii="宋体" w:hAnsi="宋体" w:cs="宋体"/>
                <w:color w:val="000000"/>
                <w:kern w:val="0"/>
                <w:sz w:val="22"/>
                <w:szCs w:val="22"/>
              </w:rPr>
            </w:pPr>
          </w:p>
        </w:tc>
        <w:tc>
          <w:tcPr>
            <w:tcW w:w="2781" w:type="pct"/>
            <w:gridSpan w:val="2"/>
            <w:shd w:val="clear" w:color="000000" w:fill="FFFFFF"/>
            <w:vAlign w:val="center"/>
          </w:tcPr>
          <w:p w14:paraId="703680A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数据管理后台</w:t>
            </w:r>
          </w:p>
        </w:tc>
        <w:tc>
          <w:tcPr>
            <w:tcW w:w="740" w:type="pct"/>
            <w:vMerge w:val="continue"/>
            <w:vAlign w:val="center"/>
          </w:tcPr>
          <w:p w14:paraId="5EAD197B">
            <w:pPr>
              <w:widowControl/>
              <w:jc w:val="left"/>
              <w:rPr>
                <w:rFonts w:hint="eastAsia" w:ascii="宋体" w:hAnsi="宋体" w:cs="宋体"/>
                <w:color w:val="000000"/>
                <w:kern w:val="0"/>
                <w:sz w:val="22"/>
                <w:szCs w:val="22"/>
              </w:rPr>
            </w:pPr>
          </w:p>
        </w:tc>
      </w:tr>
      <w:tr w14:paraId="6144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pct"/>
            <w:vAlign w:val="center"/>
          </w:tcPr>
          <w:p w14:paraId="441D98C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740" w:type="pct"/>
            <w:vMerge w:val="continue"/>
            <w:vAlign w:val="center"/>
          </w:tcPr>
          <w:p w14:paraId="36155346">
            <w:pPr>
              <w:widowControl/>
              <w:jc w:val="left"/>
              <w:rPr>
                <w:rFonts w:hint="eastAsia" w:ascii="宋体" w:hAnsi="宋体" w:cs="宋体"/>
                <w:color w:val="000000"/>
                <w:kern w:val="0"/>
                <w:sz w:val="22"/>
                <w:szCs w:val="22"/>
              </w:rPr>
            </w:pPr>
          </w:p>
        </w:tc>
        <w:tc>
          <w:tcPr>
            <w:tcW w:w="2781" w:type="pct"/>
            <w:gridSpan w:val="2"/>
            <w:shd w:val="clear" w:color="000000" w:fill="FFFFFF"/>
            <w:vAlign w:val="center"/>
          </w:tcPr>
          <w:p w14:paraId="5316B87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 HIS系统对接</w:t>
            </w:r>
          </w:p>
        </w:tc>
        <w:tc>
          <w:tcPr>
            <w:tcW w:w="740" w:type="pct"/>
            <w:vMerge w:val="continue"/>
            <w:vAlign w:val="center"/>
          </w:tcPr>
          <w:p w14:paraId="6C9BF4D8">
            <w:pPr>
              <w:widowControl/>
              <w:jc w:val="left"/>
              <w:rPr>
                <w:rFonts w:hint="eastAsia" w:ascii="宋体" w:hAnsi="宋体" w:cs="宋体"/>
                <w:color w:val="000000"/>
                <w:kern w:val="0"/>
                <w:sz w:val="22"/>
                <w:szCs w:val="22"/>
              </w:rPr>
            </w:pPr>
          </w:p>
        </w:tc>
      </w:tr>
    </w:tbl>
    <w:p w14:paraId="7F075DE3">
      <w:pPr>
        <w:rPr>
          <w:rFonts w:eastAsia="等线"/>
        </w:rPr>
      </w:pPr>
    </w:p>
    <w:p w14:paraId="2F1B1546">
      <w:pPr>
        <w:pStyle w:val="3"/>
      </w:pPr>
      <w:r>
        <w:rPr>
          <w:rFonts w:hint="eastAsia"/>
        </w:rPr>
        <w:t>功能要求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712"/>
        <w:gridCol w:w="7260"/>
      </w:tblGrid>
      <w:tr w14:paraId="129C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2" w:type="pct"/>
            <w:vAlign w:val="center"/>
          </w:tcPr>
          <w:p w14:paraId="1E943B6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352" w:type="pct"/>
            <w:vAlign w:val="center"/>
          </w:tcPr>
          <w:p w14:paraId="690823D3">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分类</w:t>
            </w:r>
          </w:p>
        </w:tc>
        <w:tc>
          <w:tcPr>
            <w:tcW w:w="352" w:type="pct"/>
            <w:vAlign w:val="center"/>
          </w:tcPr>
          <w:p w14:paraId="17D4AC6E">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352" w:type="pct"/>
            <w:vAlign w:val="center"/>
          </w:tcPr>
          <w:p w14:paraId="29D21923">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模块</w:t>
            </w:r>
          </w:p>
        </w:tc>
        <w:tc>
          <w:tcPr>
            <w:tcW w:w="3592" w:type="pct"/>
            <w:vAlign w:val="center"/>
          </w:tcPr>
          <w:p w14:paraId="5233AB1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功能参数</w:t>
            </w:r>
          </w:p>
        </w:tc>
      </w:tr>
      <w:tr w14:paraId="340E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352" w:type="pct"/>
            <w:vAlign w:val="center"/>
          </w:tcPr>
          <w:p w14:paraId="0FE19F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52" w:type="pct"/>
            <w:vMerge w:val="restart"/>
            <w:vAlign w:val="center"/>
          </w:tcPr>
          <w:p w14:paraId="5D1B38B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区域健康管理云平台</w:t>
            </w:r>
          </w:p>
        </w:tc>
        <w:tc>
          <w:tcPr>
            <w:tcW w:w="352" w:type="pct"/>
            <w:vMerge w:val="restart"/>
            <w:vAlign w:val="center"/>
          </w:tcPr>
          <w:p w14:paraId="7CB1C7A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智慧监测平台</w:t>
            </w:r>
          </w:p>
        </w:tc>
        <w:tc>
          <w:tcPr>
            <w:tcW w:w="352" w:type="pct"/>
            <w:vAlign w:val="center"/>
          </w:tcPr>
          <w:p w14:paraId="173710B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卫健端监管大屏</w:t>
            </w:r>
          </w:p>
        </w:tc>
        <w:tc>
          <w:tcPr>
            <w:tcW w:w="3592" w:type="pct"/>
            <w:vAlign w:val="center"/>
          </w:tcPr>
          <w:p w14:paraId="66618F3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1.评估工作情况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按年度统计辖区内老年人和高血压、糖尿病等慢性病人群的评估人数和占总人口的评估完成率情况。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2.各地区慢病筛查情况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按辖区内下管医疗机构为单位统计辖区内各医疗机构已筛查人数、未筛查人数和已筛查人数的占比情况。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3.各地区健康评估情况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按辖区内下管医疗机构为单位统计辖区内各医疗机构已健康评估人数、未健康评估人数和健康评估完成人数的占比情况。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4.慢病筛查完成情况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统计辖区内常住居民人数、纳入管理人数和慢病筛查完成人数,同时计算纳入慢病管理人数录入率和筛查完成率情况。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5.服务工作情况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统计辖区内对老年人和高血压、糖尿病等慢病患者的年度服务人次和年度服务人数,计算年度服务完成率。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6.协诊情况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统计辖区内对老年人和高血压、糖尿病等慢病患者协诊总人次,向上转诊人数、向下转诊人数和平行转诊人数情况。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7.各地协诊情况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按辖区内下管医疗机构为单位统计辖区内各医疗机构向上协诊、向下协诊和平行协诊的人数以及各级协诊的占比情况。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8.智能趋势分析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通过智能AI技术自动分析管辖区域内老年人、高血压、糖尿病等慢性病患者的就医流向、历年控制率趋势、管理率趋势以及患病率趋势分析。</w:t>
            </w:r>
          </w:p>
        </w:tc>
      </w:tr>
      <w:tr w14:paraId="205B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352" w:type="pct"/>
            <w:vAlign w:val="center"/>
          </w:tcPr>
          <w:p w14:paraId="094C05E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352" w:type="pct"/>
            <w:vMerge w:val="continue"/>
            <w:vAlign w:val="center"/>
          </w:tcPr>
          <w:p w14:paraId="3212683C">
            <w:pPr>
              <w:widowControl/>
              <w:jc w:val="left"/>
              <w:rPr>
                <w:rFonts w:hint="eastAsia" w:ascii="宋体" w:hAnsi="宋体" w:cs="宋体"/>
                <w:color w:val="000000"/>
                <w:kern w:val="0"/>
                <w:sz w:val="22"/>
                <w:szCs w:val="22"/>
              </w:rPr>
            </w:pPr>
          </w:p>
        </w:tc>
        <w:tc>
          <w:tcPr>
            <w:tcW w:w="352" w:type="pct"/>
            <w:vMerge w:val="continue"/>
            <w:vAlign w:val="center"/>
          </w:tcPr>
          <w:p w14:paraId="721CEA9C">
            <w:pPr>
              <w:widowControl/>
              <w:jc w:val="left"/>
              <w:rPr>
                <w:rFonts w:hint="eastAsia" w:ascii="宋体" w:hAnsi="宋体" w:cs="宋体"/>
                <w:color w:val="000000"/>
                <w:kern w:val="0"/>
                <w:sz w:val="22"/>
                <w:szCs w:val="22"/>
              </w:rPr>
            </w:pPr>
          </w:p>
        </w:tc>
        <w:tc>
          <w:tcPr>
            <w:tcW w:w="352" w:type="pct"/>
            <w:vAlign w:val="center"/>
          </w:tcPr>
          <w:p w14:paraId="5688524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医院端监管大屏</w:t>
            </w:r>
          </w:p>
        </w:tc>
        <w:tc>
          <w:tcPr>
            <w:tcW w:w="3592" w:type="pct"/>
            <w:vAlign w:val="center"/>
          </w:tcPr>
          <w:p w14:paraId="4602284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1.慢病人群金字塔</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统计辖区内已建档的老年人和高血压、糖尿病等慢性病患者人数按年龄段0-20岁,21-30岁,31-40岁,41-50岁,51-60岁,61-70岁,71-80岁,81-90岁进行分析,分别统计各年龄段的慢病人群的男女人数和占比情况。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2.慢病高危人群总览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统计辖区内慢病专病筛查人群中高血压高危人数、糖尿病高危人数、冠心病高危人数、脑卒中高危人数、慢阻肺高危人数、慢性肾脏病高危人数。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3.慢病确诊人群分布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统计辖区内老年人和高血压、糖尿病等慢性病人群中高血压确诊人数、糖尿病确诊人数、冠心病确诊人数、脑卒中确诊人数、慢阻肺确诊人数、慢性肾脏病确诊人数。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4.慢病新增发病人数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按年度统计辖区内老年人和高血压、糖尿病等慢性病人群中高血压新增人数、糖尿病新增人数、冠心病新增人数、脑卒中新增人数、慢阻肺新增人数、慢性肾脏病新增人数。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5.★慢病高危人群筛查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统计辖区内老年人和高血压、糖尿病等慢性病人群的筛查结果人群分布情况,主要包含:未筛查人数,健康人群和高危人群人数以及各人群的占比情况。（提供清晰可见的功能截图）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6.★专病筛查人群统计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老年人和高血压、糖尿病等慢性病人群的专病筛查情况,主要包含高血压的一般人群和高危人群人数、糖尿病的一般人群和高危人群人数、冠心病的一般人群和高危人群人数、脑卒中的一般人群和高危人群人数、慢阻肺的一般人群和高危人群人数、慢性肾脏病的一般人群和高危人群人数。（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7.专病分级人群统计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统计辖区内老年人和高血压、糖尿病等慢性病人群专病筛查人群的性别占比情况。</w:t>
            </w:r>
          </w:p>
        </w:tc>
      </w:tr>
      <w:tr w14:paraId="275F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352" w:type="pct"/>
            <w:vAlign w:val="center"/>
          </w:tcPr>
          <w:p w14:paraId="1B53EE5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352" w:type="pct"/>
            <w:vMerge w:val="continue"/>
            <w:vAlign w:val="center"/>
          </w:tcPr>
          <w:p w14:paraId="2361EB27">
            <w:pPr>
              <w:widowControl/>
              <w:jc w:val="left"/>
              <w:rPr>
                <w:rFonts w:hint="eastAsia" w:ascii="宋体" w:hAnsi="宋体" w:cs="宋体"/>
                <w:color w:val="000000"/>
                <w:kern w:val="0"/>
                <w:sz w:val="22"/>
                <w:szCs w:val="22"/>
              </w:rPr>
            </w:pPr>
          </w:p>
        </w:tc>
        <w:tc>
          <w:tcPr>
            <w:tcW w:w="352" w:type="pct"/>
            <w:vMerge w:val="continue"/>
            <w:vAlign w:val="center"/>
          </w:tcPr>
          <w:p w14:paraId="19E9B919">
            <w:pPr>
              <w:widowControl/>
              <w:jc w:val="left"/>
              <w:rPr>
                <w:rFonts w:hint="eastAsia" w:ascii="宋体" w:hAnsi="宋体" w:cs="宋体"/>
                <w:color w:val="000000"/>
                <w:kern w:val="0"/>
                <w:sz w:val="22"/>
                <w:szCs w:val="22"/>
              </w:rPr>
            </w:pPr>
          </w:p>
        </w:tc>
        <w:tc>
          <w:tcPr>
            <w:tcW w:w="352" w:type="pct"/>
            <w:vAlign w:val="center"/>
          </w:tcPr>
          <w:p w14:paraId="3282FBF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工作量统计</w:t>
            </w:r>
          </w:p>
        </w:tc>
        <w:tc>
          <w:tcPr>
            <w:tcW w:w="3592" w:type="pct"/>
            <w:vAlign w:val="center"/>
          </w:tcPr>
          <w:p w14:paraId="530E6ED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1.慢病筛查工作量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按年度和管辖区域条件查看各区域慢病建档人数和慢病筛查完成人数以及慢病筛查完成率信息。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2.★专病筛查工作量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按年度和管辖区域条件查看各区域慢病建档人数和专病筛查完成人数以及专病筛查完成率信息。（提供清晰可见的功能截图）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3.健康评估工作量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按年度和管辖区域条件查看各区域慢病建档人数和健康评估完成人数以及健康评估完成率信息。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4.并发症信息采集工作量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按年度和管辖区域条件查看各区域慢病建档人数和慢性病患者人数以及并发症信息采集人数以及并发症信息采集完成率信息。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5.年度服务工作量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按年度和管辖区域条件查看各区域慢性病患者总人数、纳入管理人数、已制定年度服务计划人数、已完成服务项数、未完成服务项数、逾期服务项数、服务逾期率(%)信息。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6.转诊工作量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按年度和管辖区域条件查看各区域纳入管理人数、协诊总人次、向上协诊人次、向下协诊人次、接诊人次。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7.随访统计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按年度和管辖区域条件查看各区域慢性病患者人数、高血压随访人数、糖尿病随访人数、冠心病随访人数、脑卒中随访人数、慢阻肺随访人数、慢性肾脏病随访人数。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8.用药指导统计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按年度和管辖区域条件查看各区域慢性病患者人数、高血压用药指导人数、糖尿病用药指导人数、冠心病用药指导人数、脑卒中用药指导人数、慢阻肺用药指导人数、慢性肾脏病用药指导人数。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9.健康指导统计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按年度和管辖区域条件查看各区域慢性病患者人数、高血压健康指导人数、糖尿病健康指导人数、冠心病健康指导人数、脑卒中健康指导人数、慢阻肺健康指导人数、慢性肾脏病健康指导人数。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10.随访服务智能监测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1、按年度和管辖区域条件查看各区域医疗机构的随访工作服务的统计和异常类型分布分析,统计异常随访的占比情况。 2.对随访数据出现异常时进行标红处理,随访次数多出或逾期进行相关提醒。</w:t>
            </w:r>
          </w:p>
        </w:tc>
      </w:tr>
      <w:tr w14:paraId="45A4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352" w:type="pct"/>
            <w:vAlign w:val="center"/>
          </w:tcPr>
          <w:p w14:paraId="4B9D1B6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352" w:type="pct"/>
            <w:vMerge w:val="continue"/>
            <w:vAlign w:val="center"/>
          </w:tcPr>
          <w:p w14:paraId="5041B4D3">
            <w:pPr>
              <w:widowControl/>
              <w:jc w:val="left"/>
              <w:rPr>
                <w:rFonts w:hint="eastAsia" w:ascii="宋体" w:hAnsi="宋体" w:cs="宋体"/>
                <w:color w:val="000000"/>
                <w:kern w:val="0"/>
                <w:sz w:val="22"/>
                <w:szCs w:val="22"/>
              </w:rPr>
            </w:pPr>
          </w:p>
        </w:tc>
        <w:tc>
          <w:tcPr>
            <w:tcW w:w="352" w:type="pct"/>
            <w:vMerge w:val="continue"/>
            <w:vAlign w:val="center"/>
          </w:tcPr>
          <w:p w14:paraId="2682FB92">
            <w:pPr>
              <w:widowControl/>
              <w:jc w:val="left"/>
              <w:rPr>
                <w:rFonts w:hint="eastAsia" w:ascii="宋体" w:hAnsi="宋体" w:cs="宋体"/>
                <w:color w:val="000000"/>
                <w:kern w:val="0"/>
                <w:sz w:val="22"/>
                <w:szCs w:val="22"/>
              </w:rPr>
            </w:pPr>
          </w:p>
        </w:tc>
        <w:tc>
          <w:tcPr>
            <w:tcW w:w="352" w:type="pct"/>
            <w:vAlign w:val="center"/>
          </w:tcPr>
          <w:p w14:paraId="7779123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患者基本情况分析</w:t>
            </w:r>
          </w:p>
        </w:tc>
        <w:tc>
          <w:tcPr>
            <w:tcW w:w="3592" w:type="pct"/>
            <w:vAlign w:val="center"/>
          </w:tcPr>
          <w:p w14:paraId="04221DB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1.慢病患者档案统计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统计辖区内居民健康档案建档人数及慢病患者的动态档案更新数量。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2.★慢性病基本情况统计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统计各辖区内居民建立健康档案人数、高血压患病人数、糖尿病患病人数、冠心病患病人数、脑卒中患病人数、慢阻肺患病人数、慢性肾脏病患病人数及其占总人口的患病率。（提供清晰可见的功能截图）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3.慢病筛查统计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高血压总人数和年度新增患病人数、糖尿病总人数和年度新增患病人数、冠心病总人数和年度新增患病人数、脑卒中总人数和年度新增患病人数、慢阻肺总人数和年度新增患病人数、慢性肾脏病总人数和年度新增患病人数的新增发病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4.慢病重症情况统计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统计辖区内慢性病患者人数、慢性病重症登记人数、慢性病重症发生率、重症治愈人数、重症治愈率、重症致残人数、重症致残率、重症死亡人数、重症致死率。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5.慢病单病种确诊统计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统计辖区内辖区总人数、慢病患者总人数、患高血压人数、糖尿病人数、冠心病人数、脑卒中人数、慢阻肺人数、慢性肾脏病人数情况。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6.慢病单病种易患统计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统计辖区内总人数和慢性病筛查高危人数和高血压高危人数、糖尿病高危人数、冠心病高危人数、脑卒中高危人数、慢阻肺高危人数、慢性肾脏病高危人数情况。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7.慢病患者并发症发生人数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统计辖区内慢病患者并发症发生人数,主要包含:脑血管病变人数、心血管病变人数、肾脏病变人数、眼底病变人数、精神病变人数、周围血管病变人数情况。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8.慢性病人群筛查分类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统计辖区居民慢病筛查患高血压、糖尿病、冠心病、脑卒中、慢阻肺、慢性肾脏病风险人群占比情况。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9.慢病患者性别分布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统计辖区内慢病患者总人数和男性人数和女性人数以及各性别占比情况。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10.患者满意度评价</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统计辖区内患者服务满意度评价情况,满意度评价的等级和占比情况,主要包含:专业知识评分次数、服务态度评分次数、服务效果评分次数、专业知识评分1-2星次数、服务态度评分1-2星次数、服务效果评分1-2星次数、专业知识评分3-5星次数、服务态度评分3-5星次数、服务效果评分3-5星次数。</w:t>
            </w:r>
          </w:p>
        </w:tc>
      </w:tr>
      <w:tr w14:paraId="4D23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352" w:type="pct"/>
            <w:vAlign w:val="center"/>
          </w:tcPr>
          <w:p w14:paraId="5316BF8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352" w:type="pct"/>
            <w:vMerge w:val="continue"/>
            <w:vAlign w:val="center"/>
          </w:tcPr>
          <w:p w14:paraId="687C0C94">
            <w:pPr>
              <w:widowControl/>
              <w:jc w:val="left"/>
              <w:rPr>
                <w:rFonts w:hint="eastAsia" w:ascii="宋体" w:hAnsi="宋体" w:cs="宋体"/>
                <w:color w:val="000000"/>
                <w:kern w:val="0"/>
                <w:sz w:val="22"/>
                <w:szCs w:val="22"/>
              </w:rPr>
            </w:pPr>
          </w:p>
        </w:tc>
        <w:tc>
          <w:tcPr>
            <w:tcW w:w="352" w:type="pct"/>
            <w:vMerge w:val="continue"/>
            <w:vAlign w:val="center"/>
          </w:tcPr>
          <w:p w14:paraId="4EC4AFDF">
            <w:pPr>
              <w:widowControl/>
              <w:jc w:val="left"/>
              <w:rPr>
                <w:rFonts w:hint="eastAsia" w:ascii="宋体" w:hAnsi="宋体" w:cs="宋体"/>
                <w:color w:val="000000"/>
                <w:kern w:val="0"/>
                <w:sz w:val="22"/>
                <w:szCs w:val="22"/>
              </w:rPr>
            </w:pPr>
          </w:p>
        </w:tc>
        <w:tc>
          <w:tcPr>
            <w:tcW w:w="352" w:type="pct"/>
            <w:vAlign w:val="center"/>
          </w:tcPr>
          <w:p w14:paraId="3A89E7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绩效考核</w:t>
            </w:r>
          </w:p>
        </w:tc>
        <w:tc>
          <w:tcPr>
            <w:tcW w:w="3592" w:type="pct"/>
            <w:vAlign w:val="center"/>
          </w:tcPr>
          <w:p w14:paraId="7BAA280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 ★考核项目管理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支持录入考核项目名称、题型(含单选题/多选题/填空题),配置题目分值及考核规则标准。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2.考核方案管理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设定考核方案名称与执行时间,关联所选考核项目,生成完整考核方案框架。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3.考核执行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机构选定考核方案后启动执行,系统自动汇总指标生成考核结果,支持管理人员对结果进行审核与修正。</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4.考核报告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基于考核方案指标数据自动生成报告,深度分析随访服务完成率、时效性及频次达标情况,通过实时预警机制定位异常节点,同步提出改进建议,驱动团队效率优化与数据真实性提升,供管理人员审阅决策。</w:t>
            </w:r>
          </w:p>
        </w:tc>
      </w:tr>
      <w:tr w14:paraId="723B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52" w:type="pct"/>
            <w:vAlign w:val="center"/>
          </w:tcPr>
          <w:p w14:paraId="04F2BDF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352" w:type="pct"/>
            <w:vMerge w:val="continue"/>
            <w:vAlign w:val="center"/>
          </w:tcPr>
          <w:p w14:paraId="0DC2E118">
            <w:pPr>
              <w:widowControl/>
              <w:jc w:val="left"/>
              <w:rPr>
                <w:rFonts w:hint="eastAsia" w:ascii="宋体" w:hAnsi="宋体" w:cs="宋体"/>
                <w:color w:val="000000"/>
                <w:kern w:val="0"/>
                <w:sz w:val="22"/>
                <w:szCs w:val="22"/>
              </w:rPr>
            </w:pPr>
          </w:p>
        </w:tc>
        <w:tc>
          <w:tcPr>
            <w:tcW w:w="352" w:type="pct"/>
            <w:vMerge w:val="restart"/>
            <w:vAlign w:val="center"/>
          </w:tcPr>
          <w:p w14:paraId="6E4F254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智能慢病管理平台</w:t>
            </w:r>
          </w:p>
        </w:tc>
        <w:tc>
          <w:tcPr>
            <w:tcW w:w="352" w:type="pct"/>
            <w:vAlign w:val="center"/>
          </w:tcPr>
          <w:p w14:paraId="689D65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慢病档案管理</w:t>
            </w:r>
          </w:p>
        </w:tc>
        <w:tc>
          <w:tcPr>
            <w:tcW w:w="3592" w:type="pct"/>
            <w:vAlign w:val="center"/>
          </w:tcPr>
          <w:p w14:paraId="58272F9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1.家庭档案管理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基于家庭结构关系,执行居民健康档案的聚合管理,支持家庭档案的新建、信息编辑及注销操作。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2.居民健康档案管理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管理居民基础信息(含姓名、身份证号、性别、出生日期、联系方式、现住址及人群分类),实现个人档案与公共卫生健康档案系统的双向数据互联互通。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3.失访居民管理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医生选择目标居民档案,标识失访状态并登记具体失访类型(如失联、拒访、迁出等),完成脱管人员闭环记录。</w:t>
            </w:r>
          </w:p>
        </w:tc>
      </w:tr>
      <w:tr w14:paraId="68D3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52" w:type="pct"/>
            <w:vAlign w:val="center"/>
          </w:tcPr>
          <w:p w14:paraId="2A507CF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352" w:type="pct"/>
            <w:vMerge w:val="continue"/>
            <w:vAlign w:val="center"/>
          </w:tcPr>
          <w:p w14:paraId="1E13216C">
            <w:pPr>
              <w:widowControl/>
              <w:jc w:val="left"/>
              <w:rPr>
                <w:rFonts w:hint="eastAsia" w:ascii="宋体" w:hAnsi="宋体" w:cs="宋体"/>
                <w:color w:val="000000"/>
                <w:kern w:val="0"/>
                <w:sz w:val="22"/>
                <w:szCs w:val="22"/>
              </w:rPr>
            </w:pPr>
          </w:p>
        </w:tc>
        <w:tc>
          <w:tcPr>
            <w:tcW w:w="352" w:type="pct"/>
            <w:vMerge w:val="continue"/>
            <w:vAlign w:val="center"/>
          </w:tcPr>
          <w:p w14:paraId="5D3B1F6F">
            <w:pPr>
              <w:widowControl/>
              <w:jc w:val="left"/>
              <w:rPr>
                <w:rFonts w:hint="eastAsia" w:ascii="宋体" w:hAnsi="宋体" w:cs="宋体"/>
                <w:color w:val="000000"/>
                <w:kern w:val="0"/>
                <w:sz w:val="22"/>
                <w:szCs w:val="22"/>
              </w:rPr>
            </w:pPr>
          </w:p>
        </w:tc>
        <w:tc>
          <w:tcPr>
            <w:tcW w:w="352" w:type="pct"/>
            <w:vAlign w:val="center"/>
          </w:tcPr>
          <w:p w14:paraId="1ED4B2D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医生工作台</w:t>
            </w:r>
          </w:p>
        </w:tc>
        <w:tc>
          <w:tcPr>
            <w:tcW w:w="3592" w:type="pct"/>
            <w:vAlign w:val="center"/>
          </w:tcPr>
          <w:p w14:paraId="2A8DEF1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1.★我的任务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动态展示当日待接诊患者与待随访服务对象清单,支持通过身份验证模块调用身份证快速检索患者档案,同步高亮提示逾期未完成的工作任务状态。（提供清晰可见的功能截图）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2.★一体化管理统计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实时监控本辖区内慢病患者的一体化管理覆盖率、规范管理达标率及疾病控制率核心指标,支持按病种/时间段钻取分析。（提供清晰可见的功能截图）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3.医生工作明细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多维度展示医生在本机构的评估服务记录(如健康风险评估)、随访服务明细、跨科室协诊工单及并发症处置追踪闭环。</w:t>
            </w:r>
          </w:p>
        </w:tc>
      </w:tr>
      <w:tr w14:paraId="6910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352" w:type="pct"/>
            <w:vAlign w:val="center"/>
          </w:tcPr>
          <w:p w14:paraId="314E4A4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352" w:type="pct"/>
            <w:vMerge w:val="continue"/>
            <w:vAlign w:val="center"/>
          </w:tcPr>
          <w:p w14:paraId="70EF5154">
            <w:pPr>
              <w:widowControl/>
              <w:jc w:val="left"/>
              <w:rPr>
                <w:rFonts w:hint="eastAsia" w:ascii="宋体" w:hAnsi="宋体" w:cs="宋体"/>
                <w:color w:val="000000"/>
                <w:kern w:val="0"/>
                <w:sz w:val="22"/>
                <w:szCs w:val="22"/>
              </w:rPr>
            </w:pPr>
          </w:p>
        </w:tc>
        <w:tc>
          <w:tcPr>
            <w:tcW w:w="352" w:type="pct"/>
            <w:vMerge w:val="continue"/>
            <w:vAlign w:val="center"/>
          </w:tcPr>
          <w:p w14:paraId="15583AC6">
            <w:pPr>
              <w:widowControl/>
              <w:jc w:val="left"/>
              <w:rPr>
                <w:rFonts w:hint="eastAsia" w:ascii="宋体" w:hAnsi="宋体" w:cs="宋体"/>
                <w:color w:val="000000"/>
                <w:kern w:val="0"/>
                <w:sz w:val="22"/>
                <w:szCs w:val="22"/>
              </w:rPr>
            </w:pPr>
          </w:p>
        </w:tc>
        <w:tc>
          <w:tcPr>
            <w:tcW w:w="352" w:type="pct"/>
            <w:vAlign w:val="center"/>
          </w:tcPr>
          <w:p w14:paraId="77B0DA9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慢病筛查</w:t>
            </w:r>
          </w:p>
        </w:tc>
        <w:tc>
          <w:tcPr>
            <w:tcW w:w="3592" w:type="pct"/>
            <w:vAlign w:val="center"/>
          </w:tcPr>
          <w:p w14:paraId="23ADAC8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1.★慢病筛查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医生录入居民生理指标(血压/血糖/血脂)、行为习惯及遗传史数据,系统实时计算并生成慢病高危等级评估报告。（提供清晰可见的功能截图）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2.专病筛查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针对高危人群开展高血压、糖尿病、冠心病、脑卒中、慢阻肺、慢性肾脏病六大慢病专项筛查,通过多维度健康数据动态更新,实现个体化患病风险量化分级,自动生成年度随访服务计划并触发干预任务。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3.慢病登记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医生确认慢病诊断类型及确诊日期,系统自动将该居民纳入对应病种的规范化管理队列。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4.筛查提醒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智能推送待筛查居民档案,支持医生一站式调取健康信息并启动筛查流程。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5.★慢病用药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医生对慢病患者用药的指导和管理,包括药物剂量、用药时间、不良反应等。医生制定用药方案(剂量/频次/疗程),持续追踪药物不良反应与疗效,形成用药安全电子日志。（提供清晰可见的功能截图）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医生查看慢病筛查居民的服务计划,需要包含居民的服务进度、下次服务时间、下次服务有效时间段、下次服务内容信息,可视化展示居民筛查服务进度、下次服务时间窗及具体干预内容清单。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7.★服务记录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医生查看慢病筛查居民的服务详情内容,整合居民基础档案、历次检查指标变化趋势,需包含居民的基本信息、检查结果、血压血糖血脂心率指标的趋势、既往用药、治疗方案信息。（提供清晰可见的功能截图）</w:t>
            </w:r>
          </w:p>
        </w:tc>
      </w:tr>
      <w:tr w14:paraId="4080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52" w:type="pct"/>
            <w:vAlign w:val="center"/>
          </w:tcPr>
          <w:p w14:paraId="1DA01BD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352" w:type="pct"/>
            <w:vMerge w:val="continue"/>
            <w:vAlign w:val="center"/>
          </w:tcPr>
          <w:p w14:paraId="293FA35E">
            <w:pPr>
              <w:widowControl/>
              <w:jc w:val="left"/>
              <w:rPr>
                <w:rFonts w:hint="eastAsia" w:ascii="宋体" w:hAnsi="宋体" w:cs="宋体"/>
                <w:color w:val="000000"/>
                <w:kern w:val="0"/>
                <w:sz w:val="22"/>
                <w:szCs w:val="22"/>
              </w:rPr>
            </w:pPr>
          </w:p>
        </w:tc>
        <w:tc>
          <w:tcPr>
            <w:tcW w:w="352" w:type="pct"/>
            <w:vMerge w:val="continue"/>
            <w:vAlign w:val="center"/>
          </w:tcPr>
          <w:p w14:paraId="2C7A80E2">
            <w:pPr>
              <w:widowControl/>
              <w:jc w:val="left"/>
              <w:rPr>
                <w:rFonts w:hint="eastAsia" w:ascii="宋体" w:hAnsi="宋体" w:cs="宋体"/>
                <w:color w:val="000000"/>
                <w:kern w:val="0"/>
                <w:sz w:val="22"/>
                <w:szCs w:val="22"/>
              </w:rPr>
            </w:pPr>
          </w:p>
        </w:tc>
        <w:tc>
          <w:tcPr>
            <w:tcW w:w="352" w:type="pct"/>
            <w:vAlign w:val="center"/>
          </w:tcPr>
          <w:p w14:paraId="0DABE98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慢病管理</w:t>
            </w:r>
          </w:p>
        </w:tc>
        <w:tc>
          <w:tcPr>
            <w:tcW w:w="3592" w:type="pct"/>
            <w:vAlign w:val="center"/>
          </w:tcPr>
          <w:p w14:paraId="265A912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1.★慢病人群管理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慢性病人群进行健康评估,对慢性病人群进行标准化生理指标(血压/血糖/BMI等)、生活方式(运动/饮食/烟酒),自动生成循证报告并推送个性化健康干预建议,可以根据评估结果生成相应的报告,并提供相应的建议和指导。（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2.★高血压患者管理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高血压患者进行血压监测、生活方式干预和药物治疗等方面的管理。可以录入患者的血压数据,并根据数据生成相应的分析报告,可以根据患者的实际情况制定相关的高血压随访服务,对患者进行长期管理和相关的慢病服务。（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3.糖尿病患者管理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糖尿病患者进行血糖监测、生活方式干预和药物治疗等方面的管理。可以录入患者的血糖数据,并根据数据生成相应的分析报告,可以根据患者的实际情况制定相关的糖尿病随访服务,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4.冠心病患者管理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冠心病患者进行健康监测、生活方式干预和药物治疗等方面的管理。可以录入患者的健康数据,并根据数据生成相应的分析报告,可以根据患者的实际情况制定相关的年度服务方案,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5.脑卒中患者管理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脑卒中患者进行健康监测、生活方式干预和药物治疗等方面的管理。可以录入患者的健康数据,并根据数据生成相应的分析报告,可以根据患者的实际情况制定相关的年度服务方案,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 ★慢阻肺患者管理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慢阻肺患者进行健康监测、生活方式干预和药物治疗等方面的管理。可以录入患者的健康数据,并根据数据生成相应的分析报告,可以根据患者的实际情况制定相关的年度服务方案,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7.慢性肾脏病患者管理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慢性肾脏病患者进行健康监测、生活方式干预和药物治疗等方面的管理。可以录入患者的健康数据,并根据数据生成相应的分析报告,可以根据患者的实际情况制定相关的年度服务方案,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8.并发症患者管理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对并发症患者进行相应的健康管理。可以录入患者的相关信息,对并发心脑肾病变等患者建立跨专科协同管理路径,整合并发症专属随访模板与风险预警指标库。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9.★健康评估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对慢病患者的健康状况进行全面评估,包括生理指标、生活习惯、心理状态等方面。可以根据评估结果生成相应的报告,并提供相应的建议和指导。（提供清晰可见的功能截图）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医生查看慢病患者的服务计划,可视化展示患者服务完成度、下次服务时间窗(含有效期提醒)及待执行干预内容清单(如随访/检查/健康教育)。（提供清晰可见的功能截图）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11.服务记录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医生查看慢病患者的服务详情内容,集成患者全息数据,支持疗效-成本效益分析。</w:t>
            </w:r>
          </w:p>
        </w:tc>
      </w:tr>
      <w:tr w14:paraId="60E5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352" w:type="pct"/>
            <w:vAlign w:val="center"/>
          </w:tcPr>
          <w:p w14:paraId="4D0438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352" w:type="pct"/>
            <w:vMerge w:val="continue"/>
            <w:vAlign w:val="center"/>
          </w:tcPr>
          <w:p w14:paraId="6C5770B9">
            <w:pPr>
              <w:widowControl/>
              <w:jc w:val="left"/>
              <w:rPr>
                <w:rFonts w:hint="eastAsia" w:ascii="宋体" w:hAnsi="宋体" w:cs="宋体"/>
                <w:color w:val="000000"/>
                <w:kern w:val="0"/>
                <w:sz w:val="22"/>
                <w:szCs w:val="22"/>
              </w:rPr>
            </w:pPr>
          </w:p>
        </w:tc>
        <w:tc>
          <w:tcPr>
            <w:tcW w:w="352" w:type="pct"/>
            <w:vMerge w:val="continue"/>
            <w:vAlign w:val="center"/>
          </w:tcPr>
          <w:p w14:paraId="1431522D">
            <w:pPr>
              <w:widowControl/>
              <w:jc w:val="left"/>
              <w:rPr>
                <w:rFonts w:hint="eastAsia" w:ascii="宋体" w:hAnsi="宋体" w:cs="宋体"/>
                <w:color w:val="000000"/>
                <w:kern w:val="0"/>
                <w:sz w:val="22"/>
                <w:szCs w:val="22"/>
              </w:rPr>
            </w:pPr>
          </w:p>
        </w:tc>
        <w:tc>
          <w:tcPr>
            <w:tcW w:w="352" w:type="pct"/>
            <w:vAlign w:val="center"/>
          </w:tcPr>
          <w:p w14:paraId="02F0A7E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服务管理</w:t>
            </w:r>
          </w:p>
        </w:tc>
        <w:tc>
          <w:tcPr>
            <w:tcW w:w="3592" w:type="pct"/>
            <w:vAlign w:val="center"/>
          </w:tcPr>
          <w:p w14:paraId="3DA4402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1.★服务方案管理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医生自定义慢性病患者服务方案,可以根据患者患病类型和相关风险等级程度制定相对应的服务方案,主要功能包含:方案的新增、修改、审核和删除。（提供清晰可见的功能截图）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2.服务项管理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医生自定义服务项内容,维护好的服务项可以形成服务方案,主要功能包含服务项的新增、修改、审核和删除,服务项目可以维护对应的价格。</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医生查询已制定过服务方案的居民信息,可以查看居民的服务计划和对患者进行服务,可以查看服务的进度和支持终止服务计划,终止服务计划后系统自动将服务内容归档。</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4.服务项模版管理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系统维护对应的服务项模板,模板内容为系统内置,只可新增不能删除,支持对模板内容的启用和禁用。</w:t>
            </w:r>
          </w:p>
        </w:tc>
      </w:tr>
      <w:tr w14:paraId="7507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352" w:type="pct"/>
            <w:vAlign w:val="center"/>
          </w:tcPr>
          <w:p w14:paraId="44383B5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352" w:type="pct"/>
            <w:vMerge w:val="continue"/>
            <w:vAlign w:val="center"/>
          </w:tcPr>
          <w:p w14:paraId="73A08F06">
            <w:pPr>
              <w:widowControl/>
              <w:jc w:val="left"/>
              <w:rPr>
                <w:rFonts w:hint="eastAsia" w:ascii="宋体" w:hAnsi="宋体" w:cs="宋体"/>
                <w:color w:val="000000"/>
                <w:kern w:val="0"/>
                <w:sz w:val="22"/>
                <w:szCs w:val="22"/>
              </w:rPr>
            </w:pPr>
          </w:p>
        </w:tc>
        <w:tc>
          <w:tcPr>
            <w:tcW w:w="352" w:type="pct"/>
            <w:vMerge w:val="continue"/>
            <w:vAlign w:val="center"/>
          </w:tcPr>
          <w:p w14:paraId="28092368">
            <w:pPr>
              <w:widowControl/>
              <w:jc w:val="left"/>
              <w:rPr>
                <w:rFonts w:hint="eastAsia" w:ascii="宋体" w:hAnsi="宋体" w:cs="宋体"/>
                <w:color w:val="000000"/>
                <w:kern w:val="0"/>
                <w:sz w:val="22"/>
                <w:szCs w:val="22"/>
              </w:rPr>
            </w:pPr>
          </w:p>
        </w:tc>
        <w:tc>
          <w:tcPr>
            <w:tcW w:w="352" w:type="pct"/>
            <w:vAlign w:val="center"/>
          </w:tcPr>
          <w:p w14:paraId="3D6EC45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AI智能分析</w:t>
            </w:r>
          </w:p>
        </w:tc>
        <w:tc>
          <w:tcPr>
            <w:tcW w:w="3592" w:type="pct"/>
            <w:vAlign w:val="center"/>
          </w:tcPr>
          <w:p w14:paraId="4D5BDF3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1.智能诊断分析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医生输入患者主诉文本后,系统自动识别并提取关键症状体征术语,基于预设临床决策规则库进行智能匹配,实时推送潜在病因及关联疾病参考信息至医生工作站界面。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2.AI智能处方审核</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处方提交时系统自动执行结构化审核:核验药品名称/规格/剂量/频次等基础完整性,并通过内置合理用药规则库(含配伍禁忌/超量风险/特殊人群警示)进行实时扫描,对识别出的显著用药风险触发分级预警提示。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3.智能排班分析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系统实时聚合科室/医生维度的挂号量、接诊量等业务数据,通过可视化仪表盘动态展示历史与实时工作负荷趋势,为人工排班决策提供多维度数据支撑。</w:t>
            </w:r>
          </w:p>
        </w:tc>
      </w:tr>
      <w:tr w14:paraId="0FC7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52" w:type="pct"/>
            <w:vAlign w:val="center"/>
          </w:tcPr>
          <w:p w14:paraId="7B50395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352" w:type="pct"/>
            <w:vMerge w:val="continue"/>
            <w:vAlign w:val="center"/>
          </w:tcPr>
          <w:p w14:paraId="515B6E76">
            <w:pPr>
              <w:widowControl/>
              <w:jc w:val="left"/>
              <w:rPr>
                <w:rFonts w:hint="eastAsia" w:ascii="宋体" w:hAnsi="宋体" w:cs="宋体"/>
                <w:color w:val="000000"/>
                <w:kern w:val="0"/>
                <w:sz w:val="22"/>
                <w:szCs w:val="22"/>
              </w:rPr>
            </w:pPr>
          </w:p>
        </w:tc>
        <w:tc>
          <w:tcPr>
            <w:tcW w:w="352" w:type="pct"/>
            <w:vMerge w:val="continue"/>
            <w:vAlign w:val="center"/>
          </w:tcPr>
          <w:p w14:paraId="408A5F9F">
            <w:pPr>
              <w:widowControl/>
              <w:jc w:val="left"/>
              <w:rPr>
                <w:rFonts w:hint="eastAsia" w:ascii="宋体" w:hAnsi="宋体" w:cs="宋体"/>
                <w:color w:val="000000"/>
                <w:kern w:val="0"/>
                <w:sz w:val="22"/>
                <w:szCs w:val="22"/>
              </w:rPr>
            </w:pPr>
          </w:p>
        </w:tc>
        <w:tc>
          <w:tcPr>
            <w:tcW w:w="352" w:type="pct"/>
            <w:vAlign w:val="center"/>
          </w:tcPr>
          <w:p w14:paraId="5D649C9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健康咨询</w:t>
            </w:r>
          </w:p>
        </w:tc>
        <w:tc>
          <w:tcPr>
            <w:tcW w:w="3592" w:type="pct"/>
            <w:vAlign w:val="center"/>
          </w:tcPr>
          <w:p w14:paraId="5A0449D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1.★在线咨询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医生通过实时互动咨询平台,为患者提供专业健康咨询服务,支持文字沟通与医学影像资料上传,实现循证医学指导下的即时答疑与健康资讯传递。（提供清晰可见的功能截图）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2.电话咨询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医生使用系统直连电话沟通渠道,一键发起患者通话,完成基于临床指南的专业医疗咨询与健康指导,支持随访安排与紧急干预建议传达。</w:t>
            </w:r>
          </w:p>
        </w:tc>
      </w:tr>
      <w:tr w14:paraId="42D1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352" w:type="pct"/>
            <w:vAlign w:val="center"/>
          </w:tcPr>
          <w:p w14:paraId="11A7C9E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352" w:type="pct"/>
            <w:vMerge w:val="continue"/>
            <w:vAlign w:val="center"/>
          </w:tcPr>
          <w:p w14:paraId="0A195404">
            <w:pPr>
              <w:widowControl/>
              <w:jc w:val="left"/>
              <w:rPr>
                <w:rFonts w:hint="eastAsia" w:ascii="宋体" w:hAnsi="宋体" w:cs="宋体"/>
                <w:color w:val="000000"/>
                <w:kern w:val="0"/>
                <w:sz w:val="22"/>
                <w:szCs w:val="22"/>
              </w:rPr>
            </w:pPr>
          </w:p>
        </w:tc>
        <w:tc>
          <w:tcPr>
            <w:tcW w:w="352" w:type="pct"/>
            <w:vMerge w:val="continue"/>
            <w:vAlign w:val="center"/>
          </w:tcPr>
          <w:p w14:paraId="2CB07A82">
            <w:pPr>
              <w:widowControl/>
              <w:jc w:val="left"/>
              <w:rPr>
                <w:rFonts w:hint="eastAsia" w:ascii="宋体" w:hAnsi="宋体" w:cs="宋体"/>
                <w:color w:val="000000"/>
                <w:kern w:val="0"/>
                <w:sz w:val="22"/>
                <w:szCs w:val="22"/>
              </w:rPr>
            </w:pPr>
          </w:p>
        </w:tc>
        <w:tc>
          <w:tcPr>
            <w:tcW w:w="352" w:type="pct"/>
            <w:vAlign w:val="center"/>
          </w:tcPr>
          <w:p w14:paraId="2BFF24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远程会诊</w:t>
            </w:r>
          </w:p>
        </w:tc>
        <w:tc>
          <w:tcPr>
            <w:tcW w:w="3592" w:type="pct"/>
            <w:vAlign w:val="center"/>
          </w:tcPr>
          <w:p w14:paraId="777EE6B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1.会诊预约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医生提交电子会诊申请,经主持医生/管理员审核确认后,系统自动匹配参与医生并协调会诊时间,同步向参与方推送预约成功提醒。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2.★会诊室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基于安全加密通讯技术搭建远程会诊平台,支持医生实时共享患者影像报告/检验数据,提供视频会诊、全程录像及医疗级存储服务。（提供清晰可见的功能截图）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3.患者信息管理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集中维护患者全周期诊疗数据,集成主诉、现病史、既往检查结果、临床诊断及治疗方案,构建会诊专用电子健康档案。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4.会诊报告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自动生成结构化会诊报告,经主持医生审核确认后,通过平台加密共享至患者及授权医疗机构。</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5.会诊通知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动态发送会诊日程变更、会前准备清单及待办事项提醒,支持及时查收。</w:t>
            </w:r>
          </w:p>
        </w:tc>
      </w:tr>
      <w:tr w14:paraId="0375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352" w:type="pct"/>
            <w:vAlign w:val="center"/>
          </w:tcPr>
          <w:p w14:paraId="5B87B15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352" w:type="pct"/>
            <w:vMerge w:val="continue"/>
            <w:vAlign w:val="center"/>
          </w:tcPr>
          <w:p w14:paraId="6E64CF54">
            <w:pPr>
              <w:widowControl/>
              <w:jc w:val="left"/>
              <w:rPr>
                <w:rFonts w:hint="eastAsia" w:ascii="宋体" w:hAnsi="宋体" w:cs="宋体"/>
                <w:color w:val="000000"/>
                <w:kern w:val="0"/>
                <w:sz w:val="22"/>
                <w:szCs w:val="22"/>
              </w:rPr>
            </w:pPr>
          </w:p>
        </w:tc>
        <w:tc>
          <w:tcPr>
            <w:tcW w:w="352" w:type="pct"/>
            <w:vMerge w:val="continue"/>
            <w:vAlign w:val="center"/>
          </w:tcPr>
          <w:p w14:paraId="168FFDEA">
            <w:pPr>
              <w:widowControl/>
              <w:jc w:val="left"/>
              <w:rPr>
                <w:rFonts w:hint="eastAsia" w:ascii="宋体" w:hAnsi="宋体" w:cs="宋体"/>
                <w:color w:val="000000"/>
                <w:kern w:val="0"/>
                <w:sz w:val="22"/>
                <w:szCs w:val="22"/>
              </w:rPr>
            </w:pPr>
          </w:p>
        </w:tc>
        <w:tc>
          <w:tcPr>
            <w:tcW w:w="352" w:type="pct"/>
            <w:vAlign w:val="center"/>
          </w:tcPr>
          <w:p w14:paraId="594A2C5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双向转诊</w:t>
            </w:r>
          </w:p>
        </w:tc>
        <w:tc>
          <w:tcPr>
            <w:tcW w:w="3592" w:type="pct"/>
            <w:vAlign w:val="center"/>
          </w:tcPr>
          <w:p w14:paraId="044AC68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1.★待接诊患者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医生实时调阅需本机构接诊的患者队列,查看需要本机构接诊的患者,包含居民的基本信息、居民所属机构、协诊方式、协诊类别、协诊时间信息。（提供清晰可见的功能截图）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2.协诊记录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医生检索历史协诊归档数据,包含居民:基本信息、转出机构、转出医生、转出时间、接诊医生、接诊时间、协诊原因。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3.协诊明细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医生查看本机构协诊明细信息,需包含患者信息、患者人群类别、所属机构、血压血糖血脂、转出机构、转出医生、转出时间、协诊原因、协诊类别、接诊机构、接诊医生及实际接诊时间轴。</w:t>
            </w:r>
          </w:p>
        </w:tc>
      </w:tr>
      <w:tr w14:paraId="6567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52" w:type="pct"/>
            <w:vAlign w:val="center"/>
          </w:tcPr>
          <w:p w14:paraId="2E8EBD5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352" w:type="pct"/>
            <w:vMerge w:val="continue"/>
            <w:vAlign w:val="center"/>
          </w:tcPr>
          <w:p w14:paraId="3FE6DDA6">
            <w:pPr>
              <w:widowControl/>
              <w:jc w:val="left"/>
              <w:rPr>
                <w:rFonts w:hint="eastAsia" w:ascii="宋体" w:hAnsi="宋体" w:cs="宋体"/>
                <w:color w:val="000000"/>
                <w:kern w:val="0"/>
                <w:sz w:val="22"/>
                <w:szCs w:val="22"/>
              </w:rPr>
            </w:pPr>
          </w:p>
        </w:tc>
        <w:tc>
          <w:tcPr>
            <w:tcW w:w="352" w:type="pct"/>
            <w:vMerge w:val="continue"/>
            <w:vAlign w:val="center"/>
          </w:tcPr>
          <w:p w14:paraId="023BC77A">
            <w:pPr>
              <w:widowControl/>
              <w:jc w:val="left"/>
              <w:rPr>
                <w:rFonts w:hint="eastAsia" w:ascii="宋体" w:hAnsi="宋体" w:cs="宋体"/>
                <w:color w:val="000000"/>
                <w:kern w:val="0"/>
                <w:sz w:val="22"/>
                <w:szCs w:val="22"/>
              </w:rPr>
            </w:pPr>
          </w:p>
        </w:tc>
        <w:tc>
          <w:tcPr>
            <w:tcW w:w="352" w:type="pct"/>
            <w:vAlign w:val="center"/>
          </w:tcPr>
          <w:p w14:paraId="67752E5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健康科普资源库</w:t>
            </w:r>
          </w:p>
        </w:tc>
        <w:tc>
          <w:tcPr>
            <w:tcW w:w="3592" w:type="pct"/>
            <w:vAlign w:val="center"/>
          </w:tcPr>
          <w:p w14:paraId="53D06ED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rPr>
              <w:t xml:space="preserve"> </w:t>
            </w:r>
            <w:r>
              <w:rPr>
                <w:rFonts w:hint="eastAsia" w:ascii="宋体" w:hAnsi="宋体" w:cs="宋体"/>
                <w:color w:val="000000"/>
                <w:kern w:val="0"/>
                <w:sz w:val="22"/>
                <w:szCs w:val="22"/>
              </w:rPr>
              <w:t>★健康宣教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医生维护健康科普资料信息,可以维护本机构宣教资料和公共健康科普资源库信息,医生录入图文信息选择需要推送的区划或者病种,对相关患者进行推送。支持维护公共宣教资料和机构私有宣教资料两种类型。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2.健康教育课程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维护健康教育课程信息,可以维护本机构宣教资料和公共健康科普资源库信息,医生上传视频课程和课程描述信息选择需要推送的区划或者病种,对相关患者进行推送。支持维护公共宣教课程和机构私有宣教课程两种类型。</w:t>
            </w:r>
          </w:p>
        </w:tc>
      </w:tr>
      <w:tr w14:paraId="4AD4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0" w:hRule="atLeast"/>
        </w:trPr>
        <w:tc>
          <w:tcPr>
            <w:tcW w:w="352" w:type="pct"/>
            <w:vAlign w:val="center"/>
          </w:tcPr>
          <w:p w14:paraId="72E21E6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352" w:type="pct"/>
            <w:vMerge w:val="continue"/>
            <w:vAlign w:val="center"/>
          </w:tcPr>
          <w:p w14:paraId="2D11DD26">
            <w:pPr>
              <w:widowControl/>
              <w:jc w:val="left"/>
              <w:rPr>
                <w:rFonts w:hint="eastAsia" w:ascii="宋体" w:hAnsi="宋体" w:cs="宋体"/>
                <w:color w:val="000000"/>
                <w:kern w:val="0"/>
                <w:sz w:val="22"/>
                <w:szCs w:val="22"/>
              </w:rPr>
            </w:pPr>
          </w:p>
        </w:tc>
        <w:tc>
          <w:tcPr>
            <w:tcW w:w="352" w:type="pct"/>
            <w:vMerge w:val="continue"/>
            <w:vAlign w:val="center"/>
          </w:tcPr>
          <w:p w14:paraId="0F417F94">
            <w:pPr>
              <w:widowControl/>
              <w:jc w:val="left"/>
              <w:rPr>
                <w:rFonts w:hint="eastAsia" w:ascii="宋体" w:hAnsi="宋体" w:cs="宋体"/>
                <w:color w:val="000000"/>
                <w:kern w:val="0"/>
                <w:sz w:val="22"/>
                <w:szCs w:val="22"/>
              </w:rPr>
            </w:pPr>
          </w:p>
        </w:tc>
        <w:tc>
          <w:tcPr>
            <w:tcW w:w="352" w:type="pct"/>
            <w:vAlign w:val="center"/>
          </w:tcPr>
          <w:p w14:paraId="593FACD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系统管理</w:t>
            </w:r>
          </w:p>
        </w:tc>
        <w:tc>
          <w:tcPr>
            <w:tcW w:w="3592" w:type="pct"/>
            <w:vAlign w:val="center"/>
          </w:tcPr>
          <w:p w14:paraId="5E82DA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1.机构管理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管理人员对管辖区域内医疗机构的全生命周期管理,包含的功能有新增、修改、删除、启用、禁用等操作。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2.用户管理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管理人员对辖区内医疗机构下操作用户账号等信息的管理,包含:新增、修改、删除、启用、禁用、角色授权等操作。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3.模块管理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管理人员对系统功能模块的操作功能,包含模块的新增、修改、删除。启用、禁用等操作。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4.角色管理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管理人员对系统角色进行维护,包含:新增、修改、启用、禁用和对角色可操作的系统模块进行分配管理等操作。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5.科室管理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管理人员对各个机构下科室的维护以及科室人员的维护,包含新增、修改、删除、启用、禁用操作和科室人员的查看等操作。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6.字典管理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管理人员对系统字典数据进行维护,包含主字典的新增、修改、删除和子字典的新增、修改、删除功能等操作。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7.操作历史管理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管理人员查看系统各个用户的操作历史记录信息,审计用户行为轨迹:追溯查看系统内所有用户的关键操作记录(如数据修改、权限变更)。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8.系统日志管理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系统日志管理,查看系统数据操作流转记录信息,分析系统操作日志、数据交换记录及事务处理流水。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9.服务监控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系统管理员查看系统实时运行信息,主要有服务器CPU、内存等信息状态。</w:t>
            </w:r>
          </w:p>
        </w:tc>
      </w:tr>
      <w:tr w14:paraId="1324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52" w:type="pct"/>
            <w:vAlign w:val="center"/>
          </w:tcPr>
          <w:p w14:paraId="7659F14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352" w:type="pct"/>
            <w:vMerge w:val="continue"/>
            <w:vAlign w:val="center"/>
          </w:tcPr>
          <w:p w14:paraId="3E5D9CD9">
            <w:pPr>
              <w:widowControl/>
              <w:jc w:val="left"/>
              <w:rPr>
                <w:rFonts w:hint="eastAsia" w:ascii="宋体" w:hAnsi="宋体" w:cs="宋体"/>
                <w:color w:val="000000"/>
                <w:kern w:val="0"/>
                <w:sz w:val="22"/>
                <w:szCs w:val="22"/>
              </w:rPr>
            </w:pPr>
          </w:p>
        </w:tc>
        <w:tc>
          <w:tcPr>
            <w:tcW w:w="352" w:type="pct"/>
            <w:vMerge w:val="restart"/>
            <w:vAlign w:val="center"/>
          </w:tcPr>
          <w:p w14:paraId="442920C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医生移动端</w:t>
            </w:r>
          </w:p>
        </w:tc>
        <w:tc>
          <w:tcPr>
            <w:tcW w:w="352" w:type="pct"/>
            <w:vAlign w:val="center"/>
          </w:tcPr>
          <w:p w14:paraId="738DE1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慢病档案管理</w:t>
            </w:r>
          </w:p>
        </w:tc>
        <w:tc>
          <w:tcPr>
            <w:tcW w:w="3592" w:type="pct"/>
            <w:vAlign w:val="center"/>
          </w:tcPr>
          <w:p w14:paraId="558E968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1.居民健康档案管理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医生维护居民健康档案信息,可以新增居民姓名、身份证号、性别、出生日期、联系电话、亲属电话、现住址、人群类型信息,档案信息和公卫健康档案信息互联互通。</w:t>
            </w:r>
          </w:p>
        </w:tc>
      </w:tr>
      <w:tr w14:paraId="1CF4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352" w:type="pct"/>
            <w:vAlign w:val="center"/>
          </w:tcPr>
          <w:p w14:paraId="2A72608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352" w:type="pct"/>
            <w:vMerge w:val="continue"/>
            <w:vAlign w:val="center"/>
          </w:tcPr>
          <w:p w14:paraId="38D324D2">
            <w:pPr>
              <w:widowControl/>
              <w:jc w:val="left"/>
              <w:rPr>
                <w:rFonts w:hint="eastAsia" w:ascii="宋体" w:hAnsi="宋体" w:cs="宋体"/>
                <w:color w:val="000000"/>
                <w:kern w:val="0"/>
                <w:sz w:val="22"/>
                <w:szCs w:val="22"/>
              </w:rPr>
            </w:pPr>
          </w:p>
        </w:tc>
        <w:tc>
          <w:tcPr>
            <w:tcW w:w="352" w:type="pct"/>
            <w:vMerge w:val="continue"/>
            <w:vAlign w:val="center"/>
          </w:tcPr>
          <w:p w14:paraId="174C1758">
            <w:pPr>
              <w:widowControl/>
              <w:jc w:val="left"/>
              <w:rPr>
                <w:rFonts w:hint="eastAsia" w:ascii="宋体" w:hAnsi="宋体" w:cs="宋体"/>
                <w:color w:val="000000"/>
                <w:kern w:val="0"/>
                <w:sz w:val="22"/>
                <w:szCs w:val="22"/>
              </w:rPr>
            </w:pPr>
          </w:p>
        </w:tc>
        <w:tc>
          <w:tcPr>
            <w:tcW w:w="352" w:type="pct"/>
            <w:vAlign w:val="center"/>
          </w:tcPr>
          <w:p w14:paraId="22745FB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慢病筛查</w:t>
            </w:r>
          </w:p>
        </w:tc>
        <w:tc>
          <w:tcPr>
            <w:tcW w:w="3592" w:type="pct"/>
            <w:vAlign w:val="center"/>
          </w:tcPr>
          <w:p w14:paraId="758464E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1.★慢病筛查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医生录入居民生理指标(血压/血糖/血脂)、行为习惯及遗传史数据,系统实时计算并生成慢病高危等级评估报告。（提供清晰可见的功能截图）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2.慢病登记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医生确认慢病诊断类型及确诊日期,系统自动将该居民纳入对应病种的规范化管理队列。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3.筛查提醒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智能推送待筛查居民档案,支持医生一站式调取健康信息并启动筛查流程。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医生查看慢病筛查居民的服务计划,需要包含居民的服务进度、下次服务时间、下次服务有效时间段、下次服务内容信息,可视化展示居民筛查服务进度、下次服务时间窗及具体干预内容清单。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5.服务记录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医生查看慢病筛查居民的服务详情内容,整合居民基础档案、历次检查指标变化趋势,需包含居民的基本信息、检查结果、血压血糖血脂心率指标的趋势、既往用药、治疗方案信息。</w:t>
            </w:r>
          </w:p>
        </w:tc>
      </w:tr>
      <w:tr w14:paraId="6C95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352" w:type="pct"/>
            <w:vAlign w:val="center"/>
          </w:tcPr>
          <w:p w14:paraId="5C0F259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352" w:type="pct"/>
            <w:vMerge w:val="continue"/>
            <w:vAlign w:val="center"/>
          </w:tcPr>
          <w:p w14:paraId="6B0D0A29">
            <w:pPr>
              <w:widowControl/>
              <w:jc w:val="left"/>
              <w:rPr>
                <w:rFonts w:hint="eastAsia" w:ascii="宋体" w:hAnsi="宋体" w:cs="宋体"/>
                <w:color w:val="000000"/>
                <w:kern w:val="0"/>
                <w:sz w:val="22"/>
                <w:szCs w:val="22"/>
              </w:rPr>
            </w:pPr>
          </w:p>
        </w:tc>
        <w:tc>
          <w:tcPr>
            <w:tcW w:w="352" w:type="pct"/>
            <w:vMerge w:val="continue"/>
            <w:vAlign w:val="center"/>
          </w:tcPr>
          <w:p w14:paraId="349726DB">
            <w:pPr>
              <w:widowControl/>
              <w:jc w:val="left"/>
              <w:rPr>
                <w:rFonts w:hint="eastAsia" w:ascii="宋体" w:hAnsi="宋体" w:cs="宋体"/>
                <w:color w:val="000000"/>
                <w:kern w:val="0"/>
                <w:sz w:val="22"/>
                <w:szCs w:val="22"/>
              </w:rPr>
            </w:pPr>
          </w:p>
        </w:tc>
        <w:tc>
          <w:tcPr>
            <w:tcW w:w="352" w:type="pct"/>
            <w:vAlign w:val="center"/>
          </w:tcPr>
          <w:p w14:paraId="1F3CD85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慢病管理</w:t>
            </w:r>
          </w:p>
        </w:tc>
        <w:tc>
          <w:tcPr>
            <w:tcW w:w="3592" w:type="pct"/>
            <w:vAlign w:val="center"/>
          </w:tcPr>
          <w:p w14:paraId="3921544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1.慢病患者管理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高血压患者进行血压监测、生活方式干预和药物治疗等方面的管理。可以录入患者的血压数据,并根据数据生成相应的分析报告,可以根据患者的实际情况制定相关的高血压随访服务,对患者进行长期管理和相关的慢病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2.★健康评估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对慢病患者的健康状况进行全面评估,包括生理指标、生活习惯、心理状态等方面。可以根据评估结果生成相应的报告,并提供相应的建议和指导。（提供清晰可见的功能截图）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医生查看慢病患者的服务计划,可视化展示患者服务完成度、下次服务时间窗(含有效期提醒)及待执行干预内容清单(如随访/检查/健康教育)。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4.服务记录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医生查看慢病患者的服务详情内容,集成患者全息数据,支持疗效-成本效益分析。</w:t>
            </w:r>
          </w:p>
        </w:tc>
      </w:tr>
      <w:tr w14:paraId="38D2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352" w:type="pct"/>
            <w:vAlign w:val="center"/>
          </w:tcPr>
          <w:p w14:paraId="10FBA7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352" w:type="pct"/>
            <w:vMerge w:val="continue"/>
            <w:vAlign w:val="center"/>
          </w:tcPr>
          <w:p w14:paraId="04606BAC">
            <w:pPr>
              <w:widowControl/>
              <w:jc w:val="left"/>
              <w:rPr>
                <w:rFonts w:hint="eastAsia" w:ascii="宋体" w:hAnsi="宋体" w:cs="宋体"/>
                <w:color w:val="000000"/>
                <w:kern w:val="0"/>
                <w:sz w:val="22"/>
                <w:szCs w:val="22"/>
              </w:rPr>
            </w:pPr>
          </w:p>
        </w:tc>
        <w:tc>
          <w:tcPr>
            <w:tcW w:w="352" w:type="pct"/>
            <w:vMerge w:val="continue"/>
            <w:vAlign w:val="center"/>
          </w:tcPr>
          <w:p w14:paraId="368CF9C5">
            <w:pPr>
              <w:widowControl/>
              <w:jc w:val="left"/>
              <w:rPr>
                <w:rFonts w:hint="eastAsia" w:ascii="宋体" w:hAnsi="宋体" w:cs="宋体"/>
                <w:color w:val="000000"/>
                <w:kern w:val="0"/>
                <w:sz w:val="22"/>
                <w:szCs w:val="22"/>
              </w:rPr>
            </w:pPr>
          </w:p>
        </w:tc>
        <w:tc>
          <w:tcPr>
            <w:tcW w:w="352" w:type="pct"/>
            <w:vAlign w:val="center"/>
          </w:tcPr>
          <w:p w14:paraId="0A3606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并发症管理</w:t>
            </w:r>
          </w:p>
        </w:tc>
        <w:tc>
          <w:tcPr>
            <w:tcW w:w="3592" w:type="pct"/>
            <w:vAlign w:val="center"/>
          </w:tcPr>
          <w:p w14:paraId="058FAE4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1.并发症管理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医生查看居民并发症信息,可以对需要进行并发症筛查的居民进行预约服务,选择预约机构、预约医生、预约时间进行预约。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2.并发症信息采集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对确诊过慢病的患者进行并发症信息采集。①心血管检查包含:卧位血压测量、立位血压测量项目,可直接连接电子血压计;②眼底检查包含:眼底镜检查项目;③神经检查及其他包含:足背动脉搏动、足部皮肤表现、简易五项神经病变检查、既往史等检查项目;④肾脏检查包:含肾脏检查项目;⑤血液生化检查包含:血脂、糖化血糖蛋白信息。支持连接血脂仪和糖化血红蛋白仪。</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 服务管理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医生查看慢病患者的服务计划，可视化展示患者服务完成度、下次服务时间窗（含有效期提醒）及待执行干预内容清单（如随访/检查/健康教育）。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 服务记录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医生查看慢病患者的服务详情内容，集成患者全息数据，支持疗效-成本效益分析。</w:t>
            </w:r>
          </w:p>
        </w:tc>
      </w:tr>
      <w:tr w14:paraId="6917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52" w:type="pct"/>
            <w:vAlign w:val="center"/>
          </w:tcPr>
          <w:p w14:paraId="7BEE296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352" w:type="pct"/>
            <w:vMerge w:val="continue"/>
            <w:vAlign w:val="center"/>
          </w:tcPr>
          <w:p w14:paraId="05FD5185">
            <w:pPr>
              <w:widowControl/>
              <w:jc w:val="left"/>
              <w:rPr>
                <w:rFonts w:hint="eastAsia" w:ascii="宋体" w:hAnsi="宋体" w:cs="宋体"/>
                <w:color w:val="000000"/>
                <w:kern w:val="0"/>
                <w:sz w:val="22"/>
                <w:szCs w:val="22"/>
              </w:rPr>
            </w:pPr>
          </w:p>
        </w:tc>
        <w:tc>
          <w:tcPr>
            <w:tcW w:w="352" w:type="pct"/>
            <w:vMerge w:val="continue"/>
            <w:vAlign w:val="center"/>
          </w:tcPr>
          <w:p w14:paraId="59235CEE">
            <w:pPr>
              <w:widowControl/>
              <w:jc w:val="left"/>
              <w:rPr>
                <w:rFonts w:hint="eastAsia" w:ascii="宋体" w:hAnsi="宋体" w:cs="宋体"/>
                <w:color w:val="000000"/>
                <w:kern w:val="0"/>
                <w:sz w:val="22"/>
                <w:szCs w:val="22"/>
              </w:rPr>
            </w:pPr>
          </w:p>
        </w:tc>
        <w:tc>
          <w:tcPr>
            <w:tcW w:w="352" w:type="pct"/>
            <w:vAlign w:val="center"/>
          </w:tcPr>
          <w:p w14:paraId="4E0C23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健康咨询</w:t>
            </w:r>
          </w:p>
        </w:tc>
        <w:tc>
          <w:tcPr>
            <w:tcW w:w="3592" w:type="pct"/>
            <w:vAlign w:val="center"/>
          </w:tcPr>
          <w:p w14:paraId="73ABDB8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1.★在线咨询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医生通过实时互动咨询平台,为患者提供专业健康咨询服务,支持文字沟通与医学影像资料上传,实现循证医学指导下的即时答疑与健康资讯传递。（提供清晰可见的功能截图）</w:t>
            </w:r>
          </w:p>
        </w:tc>
      </w:tr>
      <w:tr w14:paraId="4C0A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2" w:type="pct"/>
            <w:vAlign w:val="center"/>
          </w:tcPr>
          <w:p w14:paraId="64BD90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352" w:type="pct"/>
            <w:vMerge w:val="continue"/>
            <w:vAlign w:val="center"/>
          </w:tcPr>
          <w:p w14:paraId="327BFC8A">
            <w:pPr>
              <w:widowControl/>
              <w:jc w:val="left"/>
              <w:rPr>
                <w:rFonts w:hint="eastAsia" w:ascii="宋体" w:hAnsi="宋体" w:cs="宋体"/>
                <w:color w:val="000000"/>
                <w:kern w:val="0"/>
                <w:sz w:val="22"/>
                <w:szCs w:val="22"/>
              </w:rPr>
            </w:pPr>
          </w:p>
        </w:tc>
        <w:tc>
          <w:tcPr>
            <w:tcW w:w="352" w:type="pct"/>
            <w:vMerge w:val="continue"/>
            <w:vAlign w:val="center"/>
          </w:tcPr>
          <w:p w14:paraId="4A11A335">
            <w:pPr>
              <w:widowControl/>
              <w:jc w:val="left"/>
              <w:rPr>
                <w:rFonts w:hint="eastAsia" w:ascii="宋体" w:hAnsi="宋体" w:cs="宋体"/>
                <w:color w:val="000000"/>
                <w:kern w:val="0"/>
                <w:sz w:val="22"/>
                <w:szCs w:val="22"/>
              </w:rPr>
            </w:pPr>
          </w:p>
        </w:tc>
        <w:tc>
          <w:tcPr>
            <w:tcW w:w="352" w:type="pct"/>
            <w:vAlign w:val="center"/>
          </w:tcPr>
          <w:p w14:paraId="49AE469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服务预警</w:t>
            </w:r>
          </w:p>
        </w:tc>
        <w:tc>
          <w:tcPr>
            <w:tcW w:w="3592" w:type="pct"/>
            <w:vAlign w:val="center"/>
          </w:tcPr>
          <w:p w14:paraId="4FDE06D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1.慢病随访预警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根据患者的病情和治疗计划,发送相应的随访预警和提醒。可以设置预警的条件和方式,并记录预警的状态和结果。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2.慢病服务预警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根据患者的病情和治疗计划,发送相应的服务预警和提醒。可以设置预警的条件和方式,并记录预警的状态和结果。</w:t>
            </w:r>
          </w:p>
        </w:tc>
      </w:tr>
      <w:tr w14:paraId="0E20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52" w:type="pct"/>
            <w:vAlign w:val="center"/>
          </w:tcPr>
          <w:p w14:paraId="03E8148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352" w:type="pct"/>
            <w:vMerge w:val="continue"/>
            <w:vAlign w:val="center"/>
          </w:tcPr>
          <w:p w14:paraId="619A5A78">
            <w:pPr>
              <w:widowControl/>
              <w:jc w:val="left"/>
              <w:rPr>
                <w:rFonts w:hint="eastAsia" w:ascii="宋体" w:hAnsi="宋体" w:cs="宋体"/>
                <w:color w:val="000000"/>
                <w:kern w:val="0"/>
                <w:sz w:val="22"/>
                <w:szCs w:val="22"/>
              </w:rPr>
            </w:pPr>
          </w:p>
        </w:tc>
        <w:tc>
          <w:tcPr>
            <w:tcW w:w="352" w:type="pct"/>
            <w:vMerge w:val="restart"/>
            <w:vAlign w:val="center"/>
          </w:tcPr>
          <w:p w14:paraId="24EBC8B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居民健康管理移动端</w:t>
            </w:r>
          </w:p>
        </w:tc>
        <w:tc>
          <w:tcPr>
            <w:tcW w:w="352" w:type="pct"/>
            <w:vAlign w:val="center"/>
          </w:tcPr>
          <w:p w14:paraId="7BAEDC8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我的档案</w:t>
            </w:r>
          </w:p>
        </w:tc>
        <w:tc>
          <w:tcPr>
            <w:tcW w:w="3592" w:type="pct"/>
            <w:vAlign w:val="center"/>
          </w:tcPr>
          <w:p w14:paraId="49011BF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rPr>
              <w:t xml:space="preserve"> </w:t>
            </w:r>
            <w:r>
              <w:rPr>
                <w:rFonts w:hint="eastAsia" w:ascii="宋体" w:hAnsi="宋体" w:cs="宋体"/>
                <w:color w:val="000000"/>
                <w:kern w:val="0"/>
                <w:sz w:val="22"/>
                <w:szCs w:val="22"/>
              </w:rPr>
              <w:t>★健康档案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居民可以查询自己的健康档案,了解个人的档案信息和健康状况,并进行相应的操作和更新。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2.体检记录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居民可以查询自己的健康体检记录,了解个人的健康状况和医疗记录。可以查看病历资料、检查结果等信息,并进行相应的操作和更新。</w:t>
            </w:r>
          </w:p>
        </w:tc>
      </w:tr>
      <w:tr w14:paraId="4165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52" w:type="pct"/>
            <w:vAlign w:val="center"/>
          </w:tcPr>
          <w:p w14:paraId="4A54852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352" w:type="pct"/>
            <w:vMerge w:val="continue"/>
            <w:vAlign w:val="center"/>
          </w:tcPr>
          <w:p w14:paraId="616F7DA1">
            <w:pPr>
              <w:widowControl/>
              <w:jc w:val="left"/>
              <w:rPr>
                <w:rFonts w:hint="eastAsia" w:ascii="宋体" w:hAnsi="宋体" w:cs="宋体"/>
                <w:color w:val="000000"/>
                <w:kern w:val="0"/>
                <w:sz w:val="22"/>
                <w:szCs w:val="22"/>
              </w:rPr>
            </w:pPr>
          </w:p>
        </w:tc>
        <w:tc>
          <w:tcPr>
            <w:tcW w:w="352" w:type="pct"/>
            <w:vMerge w:val="continue"/>
            <w:vAlign w:val="center"/>
          </w:tcPr>
          <w:p w14:paraId="5D1874C2">
            <w:pPr>
              <w:widowControl/>
              <w:jc w:val="left"/>
              <w:rPr>
                <w:rFonts w:hint="eastAsia" w:ascii="宋体" w:hAnsi="宋体" w:cs="宋体"/>
                <w:color w:val="000000"/>
                <w:kern w:val="0"/>
                <w:sz w:val="22"/>
                <w:szCs w:val="22"/>
              </w:rPr>
            </w:pPr>
          </w:p>
        </w:tc>
        <w:tc>
          <w:tcPr>
            <w:tcW w:w="352" w:type="pct"/>
            <w:vAlign w:val="center"/>
          </w:tcPr>
          <w:p w14:paraId="1E2005A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健康管理</w:t>
            </w:r>
          </w:p>
        </w:tc>
        <w:tc>
          <w:tcPr>
            <w:tcW w:w="3592" w:type="pct"/>
            <w:vAlign w:val="center"/>
          </w:tcPr>
          <w:p w14:paraId="723B136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1.★居民健康数据风险预警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居民可以查看自己的身高/体重、血压、血糖等健康指标记录,支持居民手动上传最新的健康数据。 2.利用智能设备收集和监测患者的健康数据,如血压计、血糖仪等。可以将采集到的数据上传至系统,并进行分析和管理。 (1)系统支持对接智能设备,自动读取自动试点区域新投放的智能血压计、血糖仪、血脂仪等智能设备的监测数据; (2)支持自助填写对居民自有的血压计、血糖仪、血脂仪等健康监测设备监测的数据。数据超出规定范围时,系统支持提醒给慢病服务团队,实现慢病患者的"早发现"。（提供清晰可见的功能截图）</w:t>
            </w:r>
          </w:p>
        </w:tc>
      </w:tr>
      <w:tr w14:paraId="51CD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52" w:type="pct"/>
            <w:vAlign w:val="center"/>
          </w:tcPr>
          <w:p w14:paraId="0D514E9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352" w:type="pct"/>
            <w:vMerge w:val="continue"/>
            <w:vAlign w:val="center"/>
          </w:tcPr>
          <w:p w14:paraId="708C5634">
            <w:pPr>
              <w:widowControl/>
              <w:jc w:val="left"/>
              <w:rPr>
                <w:rFonts w:hint="eastAsia" w:ascii="宋体" w:hAnsi="宋体" w:cs="宋体"/>
                <w:color w:val="000000"/>
                <w:kern w:val="0"/>
                <w:sz w:val="22"/>
                <w:szCs w:val="22"/>
              </w:rPr>
            </w:pPr>
          </w:p>
        </w:tc>
        <w:tc>
          <w:tcPr>
            <w:tcW w:w="352" w:type="pct"/>
            <w:vMerge w:val="continue"/>
            <w:vAlign w:val="center"/>
          </w:tcPr>
          <w:p w14:paraId="28563DDF">
            <w:pPr>
              <w:widowControl/>
              <w:jc w:val="left"/>
              <w:rPr>
                <w:rFonts w:hint="eastAsia" w:ascii="宋体" w:hAnsi="宋体" w:cs="宋体"/>
                <w:color w:val="000000"/>
                <w:kern w:val="0"/>
                <w:sz w:val="22"/>
                <w:szCs w:val="22"/>
              </w:rPr>
            </w:pPr>
          </w:p>
        </w:tc>
        <w:tc>
          <w:tcPr>
            <w:tcW w:w="352" w:type="pct"/>
            <w:vAlign w:val="center"/>
          </w:tcPr>
          <w:p w14:paraId="29A69F2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AI健康宣教</w:t>
            </w:r>
          </w:p>
        </w:tc>
        <w:tc>
          <w:tcPr>
            <w:tcW w:w="3592" w:type="pct"/>
            <w:vAlign w:val="center"/>
          </w:tcPr>
          <w:p w14:paraId="6DD95D5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1.★健康资讯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借助人工智能模型赋能,实现健康资料定期自动推送至居民移动端,居民可以查看健康教育和宣传资料,帮助居民了解慢性病的预防和管理方法。（提供清晰可见的功能截图）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2.健康教育课程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借助人工智能模型赋能,实现健康资料定期自动推送至居民移动端,居民可以查看慢性病教育相关的视频课程和慢病引起的并发症恢复课程。</w:t>
            </w:r>
          </w:p>
        </w:tc>
      </w:tr>
      <w:tr w14:paraId="183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vAlign w:val="center"/>
          </w:tcPr>
          <w:p w14:paraId="00C1129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352" w:type="pct"/>
            <w:vMerge w:val="continue"/>
            <w:vAlign w:val="center"/>
          </w:tcPr>
          <w:p w14:paraId="17957EE4">
            <w:pPr>
              <w:widowControl/>
              <w:jc w:val="left"/>
              <w:rPr>
                <w:rFonts w:hint="eastAsia" w:ascii="宋体" w:hAnsi="宋体" w:cs="宋体"/>
                <w:color w:val="000000"/>
                <w:kern w:val="0"/>
                <w:sz w:val="22"/>
                <w:szCs w:val="22"/>
              </w:rPr>
            </w:pPr>
          </w:p>
        </w:tc>
        <w:tc>
          <w:tcPr>
            <w:tcW w:w="352" w:type="pct"/>
            <w:vMerge w:val="continue"/>
            <w:vAlign w:val="center"/>
          </w:tcPr>
          <w:p w14:paraId="3730F844">
            <w:pPr>
              <w:widowControl/>
              <w:jc w:val="left"/>
              <w:rPr>
                <w:rFonts w:hint="eastAsia" w:ascii="宋体" w:hAnsi="宋体" w:cs="宋体"/>
                <w:color w:val="000000"/>
                <w:kern w:val="0"/>
                <w:sz w:val="22"/>
                <w:szCs w:val="22"/>
              </w:rPr>
            </w:pPr>
          </w:p>
        </w:tc>
        <w:tc>
          <w:tcPr>
            <w:tcW w:w="352" w:type="pct"/>
            <w:vAlign w:val="center"/>
          </w:tcPr>
          <w:p w14:paraId="43CF7D7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服务预约</w:t>
            </w:r>
          </w:p>
        </w:tc>
        <w:tc>
          <w:tcPr>
            <w:tcW w:w="3592" w:type="pct"/>
            <w:vAlign w:val="center"/>
          </w:tcPr>
          <w:p w14:paraId="63E9932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1.服务预约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居民可以通过小程序预约医生的服务,可以选择合适的时间和医生,并记录预约的情况和结果。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2.随访预约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居民可以通过小程序预约医生的随访和服务,可以选择合适的时间和医生,并记录预约的情况和结果。</w:t>
            </w:r>
          </w:p>
        </w:tc>
      </w:tr>
      <w:tr w14:paraId="4D6F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52" w:type="pct"/>
            <w:vAlign w:val="center"/>
          </w:tcPr>
          <w:p w14:paraId="62ECCFC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352" w:type="pct"/>
            <w:vMerge w:val="continue"/>
            <w:vAlign w:val="center"/>
          </w:tcPr>
          <w:p w14:paraId="6F1E7AE1">
            <w:pPr>
              <w:widowControl/>
              <w:jc w:val="left"/>
              <w:rPr>
                <w:rFonts w:hint="eastAsia" w:ascii="宋体" w:hAnsi="宋体" w:cs="宋体"/>
                <w:color w:val="000000"/>
                <w:kern w:val="0"/>
                <w:sz w:val="22"/>
                <w:szCs w:val="22"/>
              </w:rPr>
            </w:pPr>
          </w:p>
        </w:tc>
        <w:tc>
          <w:tcPr>
            <w:tcW w:w="352" w:type="pct"/>
            <w:vMerge w:val="continue"/>
            <w:vAlign w:val="center"/>
          </w:tcPr>
          <w:p w14:paraId="326C4D84">
            <w:pPr>
              <w:widowControl/>
              <w:jc w:val="left"/>
              <w:rPr>
                <w:rFonts w:hint="eastAsia" w:ascii="宋体" w:hAnsi="宋体" w:cs="宋体"/>
                <w:color w:val="000000"/>
                <w:kern w:val="0"/>
                <w:sz w:val="22"/>
                <w:szCs w:val="22"/>
              </w:rPr>
            </w:pPr>
          </w:p>
        </w:tc>
        <w:tc>
          <w:tcPr>
            <w:tcW w:w="352" w:type="pct"/>
            <w:vAlign w:val="center"/>
          </w:tcPr>
          <w:p w14:paraId="1AB69F2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智能导诊</w:t>
            </w:r>
          </w:p>
        </w:tc>
        <w:tc>
          <w:tcPr>
            <w:tcW w:w="3592" w:type="pct"/>
            <w:vAlign w:val="center"/>
          </w:tcPr>
          <w:p w14:paraId="1D35E58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1.症状描述与初步诊断</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用户可以通过文字、语音或选择症状列表描述自身不适。基于用户输入的症状,系统通过AI算法进行初步诊断,推荐可能的疾病或健康问题。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2.科室推荐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科室匹配:根据用户的症状或初步诊断结果,推荐合适的就诊科室。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3.医生推荐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根据医院医生号源数量,减少等待时间,优先推荐等待时间较短医生,并提供医生的简介、擅长领域等信息。</w:t>
            </w:r>
          </w:p>
        </w:tc>
      </w:tr>
      <w:tr w14:paraId="2292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52" w:type="pct"/>
            <w:vAlign w:val="center"/>
          </w:tcPr>
          <w:p w14:paraId="13CCCED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352" w:type="pct"/>
            <w:vMerge w:val="continue"/>
            <w:vAlign w:val="center"/>
          </w:tcPr>
          <w:p w14:paraId="33FCF9F1">
            <w:pPr>
              <w:widowControl/>
              <w:jc w:val="left"/>
              <w:rPr>
                <w:rFonts w:hint="eastAsia" w:ascii="宋体" w:hAnsi="宋体" w:cs="宋体"/>
                <w:color w:val="000000"/>
                <w:kern w:val="0"/>
                <w:sz w:val="22"/>
                <w:szCs w:val="22"/>
              </w:rPr>
            </w:pPr>
          </w:p>
        </w:tc>
        <w:tc>
          <w:tcPr>
            <w:tcW w:w="352" w:type="pct"/>
            <w:vMerge w:val="continue"/>
            <w:vAlign w:val="center"/>
          </w:tcPr>
          <w:p w14:paraId="194A4AD0">
            <w:pPr>
              <w:widowControl/>
              <w:jc w:val="left"/>
              <w:rPr>
                <w:rFonts w:hint="eastAsia" w:ascii="宋体" w:hAnsi="宋体" w:cs="宋体"/>
                <w:color w:val="000000"/>
                <w:kern w:val="0"/>
                <w:sz w:val="22"/>
                <w:szCs w:val="22"/>
              </w:rPr>
            </w:pPr>
          </w:p>
        </w:tc>
        <w:tc>
          <w:tcPr>
            <w:tcW w:w="352" w:type="pct"/>
            <w:vAlign w:val="center"/>
          </w:tcPr>
          <w:p w14:paraId="3BF4C1C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健康咨询 </w:t>
            </w:r>
          </w:p>
        </w:tc>
        <w:tc>
          <w:tcPr>
            <w:tcW w:w="3592" w:type="pct"/>
            <w:vAlign w:val="center"/>
          </w:tcPr>
          <w:p w14:paraId="3A02E66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1.★健康咨询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为居民提供在线的健康咨询服务,解答疑问和提供相关资讯。可以通过在线聊天、电话等方式与医生进行沟通和交流。（提供清晰可见的功能截图）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2.电话咨询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实现一键拨打患者电话,为患者提供专业的咨询服务。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3.智能咨询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通过AI助手解答用户的常见健康问题,提供即时帮助。</w:t>
            </w:r>
          </w:p>
        </w:tc>
      </w:tr>
      <w:tr w14:paraId="1BFA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vAlign w:val="center"/>
          </w:tcPr>
          <w:p w14:paraId="5E8281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352" w:type="pct"/>
            <w:vMerge w:val="continue"/>
            <w:vAlign w:val="center"/>
          </w:tcPr>
          <w:p w14:paraId="6C75B0D6">
            <w:pPr>
              <w:widowControl/>
              <w:jc w:val="left"/>
              <w:rPr>
                <w:rFonts w:hint="eastAsia" w:ascii="宋体" w:hAnsi="宋体" w:cs="宋体"/>
                <w:color w:val="000000"/>
                <w:kern w:val="0"/>
                <w:sz w:val="22"/>
                <w:szCs w:val="22"/>
              </w:rPr>
            </w:pPr>
          </w:p>
        </w:tc>
        <w:tc>
          <w:tcPr>
            <w:tcW w:w="352" w:type="pct"/>
            <w:vMerge w:val="continue"/>
            <w:vAlign w:val="center"/>
          </w:tcPr>
          <w:p w14:paraId="3E818E0B">
            <w:pPr>
              <w:widowControl/>
              <w:jc w:val="left"/>
              <w:rPr>
                <w:rFonts w:hint="eastAsia" w:ascii="宋体" w:hAnsi="宋体" w:cs="宋体"/>
                <w:color w:val="000000"/>
                <w:kern w:val="0"/>
                <w:sz w:val="22"/>
                <w:szCs w:val="22"/>
              </w:rPr>
            </w:pPr>
          </w:p>
        </w:tc>
        <w:tc>
          <w:tcPr>
            <w:tcW w:w="352" w:type="pct"/>
            <w:vAlign w:val="center"/>
          </w:tcPr>
          <w:p w14:paraId="0EABC97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智能健康评估报告</w:t>
            </w:r>
          </w:p>
        </w:tc>
        <w:tc>
          <w:tcPr>
            <w:tcW w:w="3592" w:type="pct"/>
            <w:vAlign w:val="center"/>
          </w:tcPr>
          <w:p w14:paraId="6970597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1.★智能健康评估报告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居民可以查看自己的智能健康评估报告,医生根据居民的健康数据生成智能评估报告,提供个性化的健康建议。（提供清晰可见的功能截图）</w:t>
            </w:r>
          </w:p>
        </w:tc>
      </w:tr>
      <w:tr w14:paraId="778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52" w:type="pct"/>
            <w:vAlign w:val="center"/>
          </w:tcPr>
          <w:p w14:paraId="033EB79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352" w:type="pct"/>
            <w:vMerge w:val="continue"/>
            <w:vAlign w:val="center"/>
          </w:tcPr>
          <w:p w14:paraId="36D26779">
            <w:pPr>
              <w:widowControl/>
              <w:jc w:val="left"/>
              <w:rPr>
                <w:rFonts w:hint="eastAsia" w:ascii="宋体" w:hAnsi="宋体" w:cs="宋体"/>
                <w:color w:val="000000"/>
                <w:kern w:val="0"/>
                <w:sz w:val="22"/>
                <w:szCs w:val="22"/>
              </w:rPr>
            </w:pPr>
          </w:p>
        </w:tc>
        <w:tc>
          <w:tcPr>
            <w:tcW w:w="352" w:type="pct"/>
            <w:vMerge w:val="continue"/>
            <w:vAlign w:val="center"/>
          </w:tcPr>
          <w:p w14:paraId="5B73CC3C">
            <w:pPr>
              <w:widowControl/>
              <w:jc w:val="left"/>
              <w:rPr>
                <w:rFonts w:hint="eastAsia" w:ascii="宋体" w:hAnsi="宋体" w:cs="宋体"/>
                <w:color w:val="000000"/>
                <w:kern w:val="0"/>
                <w:sz w:val="22"/>
                <w:szCs w:val="22"/>
              </w:rPr>
            </w:pPr>
          </w:p>
        </w:tc>
        <w:tc>
          <w:tcPr>
            <w:tcW w:w="352" w:type="pct"/>
            <w:vAlign w:val="center"/>
          </w:tcPr>
          <w:p w14:paraId="4E434BA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健康指导</w:t>
            </w:r>
          </w:p>
        </w:tc>
        <w:tc>
          <w:tcPr>
            <w:tcW w:w="3592" w:type="pct"/>
            <w:vAlign w:val="center"/>
          </w:tcPr>
          <w:p w14:paraId="2223603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1.医生健康指导</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居民可以查看健康指导信息,医生根据居民的健康状况和需求,提供个性化的健康指导和建议。可以根据居民的病情和治疗计划,制定相应的指导方案,并进行跟踪和评估。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2.★AI健康指导</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借助AI赋能,根据用户的健康状况,推荐个性化的健康管理计划(如饮食、运动等)。（提供清晰可见的功能截图）</w:t>
            </w:r>
          </w:p>
        </w:tc>
      </w:tr>
      <w:tr w14:paraId="0017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vAlign w:val="center"/>
          </w:tcPr>
          <w:p w14:paraId="4BDB36F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352" w:type="pct"/>
            <w:vMerge w:val="continue"/>
            <w:vAlign w:val="center"/>
          </w:tcPr>
          <w:p w14:paraId="7A093E4E">
            <w:pPr>
              <w:widowControl/>
              <w:jc w:val="left"/>
              <w:rPr>
                <w:rFonts w:hint="eastAsia" w:ascii="宋体" w:hAnsi="宋体" w:cs="宋体"/>
                <w:color w:val="000000"/>
                <w:kern w:val="0"/>
                <w:sz w:val="22"/>
                <w:szCs w:val="22"/>
              </w:rPr>
            </w:pPr>
          </w:p>
        </w:tc>
        <w:tc>
          <w:tcPr>
            <w:tcW w:w="352" w:type="pct"/>
            <w:vMerge w:val="continue"/>
            <w:vAlign w:val="center"/>
          </w:tcPr>
          <w:p w14:paraId="45025EB7">
            <w:pPr>
              <w:widowControl/>
              <w:jc w:val="left"/>
              <w:rPr>
                <w:rFonts w:hint="eastAsia" w:ascii="宋体" w:hAnsi="宋体" w:cs="宋体"/>
                <w:color w:val="000000"/>
                <w:kern w:val="0"/>
                <w:sz w:val="22"/>
                <w:szCs w:val="22"/>
              </w:rPr>
            </w:pPr>
          </w:p>
        </w:tc>
        <w:tc>
          <w:tcPr>
            <w:tcW w:w="352" w:type="pct"/>
            <w:vAlign w:val="center"/>
          </w:tcPr>
          <w:p w14:paraId="1957350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智能用药提醒</w:t>
            </w:r>
          </w:p>
        </w:tc>
        <w:tc>
          <w:tcPr>
            <w:tcW w:w="3592" w:type="pct"/>
            <w:vAlign w:val="center"/>
          </w:tcPr>
          <w:p w14:paraId="5980974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1.用药提醒</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根据医生为患者制定的用药计划信息,自动提醒患者服药,提高患者依从性。</w:t>
            </w:r>
          </w:p>
        </w:tc>
      </w:tr>
      <w:tr w14:paraId="07EA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vAlign w:val="center"/>
          </w:tcPr>
          <w:p w14:paraId="280C9CB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352" w:type="pct"/>
            <w:vMerge w:val="continue"/>
            <w:vAlign w:val="center"/>
          </w:tcPr>
          <w:p w14:paraId="675A5891">
            <w:pPr>
              <w:widowControl/>
              <w:jc w:val="left"/>
              <w:rPr>
                <w:rFonts w:hint="eastAsia" w:ascii="宋体" w:hAnsi="宋体" w:cs="宋体"/>
                <w:color w:val="000000"/>
                <w:kern w:val="0"/>
                <w:sz w:val="22"/>
                <w:szCs w:val="22"/>
              </w:rPr>
            </w:pPr>
          </w:p>
        </w:tc>
        <w:tc>
          <w:tcPr>
            <w:tcW w:w="352" w:type="pct"/>
            <w:vMerge w:val="continue"/>
            <w:vAlign w:val="center"/>
          </w:tcPr>
          <w:p w14:paraId="223934D5">
            <w:pPr>
              <w:widowControl/>
              <w:jc w:val="left"/>
              <w:rPr>
                <w:rFonts w:hint="eastAsia" w:ascii="宋体" w:hAnsi="宋体" w:cs="宋体"/>
                <w:color w:val="000000"/>
                <w:kern w:val="0"/>
                <w:sz w:val="22"/>
                <w:szCs w:val="22"/>
              </w:rPr>
            </w:pPr>
          </w:p>
        </w:tc>
        <w:tc>
          <w:tcPr>
            <w:tcW w:w="352" w:type="pct"/>
            <w:vAlign w:val="center"/>
          </w:tcPr>
          <w:p w14:paraId="5585ABC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满意度评价</w:t>
            </w:r>
          </w:p>
        </w:tc>
        <w:tc>
          <w:tcPr>
            <w:tcW w:w="3592" w:type="pct"/>
            <w:vAlign w:val="center"/>
          </w:tcPr>
          <w:p w14:paraId="13E38E4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1.★满意度评价</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居民根据建床服务情况,对建床服务医疗机构进行专业知识、服务态度、服务效果最高5星的评价,医疗机构通过PC端可以查询回复。（提供清晰可见的功能截图）</w:t>
            </w:r>
          </w:p>
        </w:tc>
      </w:tr>
      <w:tr w14:paraId="190D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vAlign w:val="center"/>
          </w:tcPr>
          <w:p w14:paraId="5773C6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352" w:type="pct"/>
            <w:vMerge w:val="continue"/>
            <w:vAlign w:val="center"/>
          </w:tcPr>
          <w:p w14:paraId="522F8D85">
            <w:pPr>
              <w:widowControl/>
              <w:jc w:val="left"/>
              <w:rPr>
                <w:rFonts w:hint="eastAsia" w:ascii="宋体" w:hAnsi="宋体" w:cs="宋体"/>
                <w:color w:val="000000"/>
                <w:kern w:val="0"/>
                <w:sz w:val="22"/>
                <w:szCs w:val="22"/>
              </w:rPr>
            </w:pPr>
          </w:p>
        </w:tc>
        <w:tc>
          <w:tcPr>
            <w:tcW w:w="352" w:type="pct"/>
            <w:vMerge w:val="restart"/>
            <w:vAlign w:val="center"/>
          </w:tcPr>
          <w:p w14:paraId="1187BA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接口对接</w:t>
            </w:r>
          </w:p>
        </w:tc>
        <w:tc>
          <w:tcPr>
            <w:tcW w:w="352" w:type="pct"/>
            <w:vAlign w:val="center"/>
          </w:tcPr>
          <w:p w14:paraId="3E003F2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公共卫生系统</w:t>
            </w:r>
          </w:p>
        </w:tc>
        <w:tc>
          <w:tcPr>
            <w:tcW w:w="3592" w:type="pct"/>
            <w:vAlign w:val="center"/>
          </w:tcPr>
          <w:p w14:paraId="5E9DF29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对接公共卫生管理系统,定义标准的公共卫生数据集标准,对接公共卫生管理系统的业务数据,与慢病患者的信息进行关联,医生能够全方位的查看患者的健康信息,提供服务及健康指导;同时对接的公共卫生服务数据为居民端的健康信息查询、医护端健康服务相关业务提供基础数据支撑。</w:t>
            </w:r>
          </w:p>
        </w:tc>
      </w:tr>
      <w:tr w14:paraId="0E2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52" w:type="pct"/>
            <w:vAlign w:val="center"/>
          </w:tcPr>
          <w:p w14:paraId="792BC8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352" w:type="pct"/>
            <w:vMerge w:val="continue"/>
            <w:vAlign w:val="center"/>
          </w:tcPr>
          <w:p w14:paraId="62AD7823">
            <w:pPr>
              <w:widowControl/>
              <w:jc w:val="left"/>
              <w:rPr>
                <w:rFonts w:hint="eastAsia" w:ascii="宋体" w:hAnsi="宋体" w:cs="宋体"/>
                <w:color w:val="000000"/>
                <w:kern w:val="0"/>
                <w:sz w:val="22"/>
                <w:szCs w:val="22"/>
              </w:rPr>
            </w:pPr>
          </w:p>
        </w:tc>
        <w:tc>
          <w:tcPr>
            <w:tcW w:w="352" w:type="pct"/>
            <w:vMerge w:val="continue"/>
            <w:vAlign w:val="center"/>
          </w:tcPr>
          <w:p w14:paraId="18E1AB0A">
            <w:pPr>
              <w:widowControl/>
              <w:jc w:val="left"/>
              <w:rPr>
                <w:rFonts w:hint="eastAsia" w:ascii="宋体" w:hAnsi="宋体" w:cs="宋体"/>
                <w:color w:val="000000"/>
                <w:kern w:val="0"/>
                <w:sz w:val="22"/>
                <w:szCs w:val="22"/>
              </w:rPr>
            </w:pPr>
          </w:p>
        </w:tc>
        <w:tc>
          <w:tcPr>
            <w:tcW w:w="352" w:type="pct"/>
            <w:vAlign w:val="center"/>
          </w:tcPr>
          <w:p w14:paraId="0D4B05B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家庭医生签约系统</w:t>
            </w:r>
          </w:p>
        </w:tc>
        <w:tc>
          <w:tcPr>
            <w:tcW w:w="3592" w:type="pct"/>
            <w:vAlign w:val="center"/>
          </w:tcPr>
          <w:p w14:paraId="391F04E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1.支持与家庭医生签约系统进行数据对接,主要数据包含:居民家庭签约信息、签约服务信息、签约团队、签约医生等信息。</w:t>
            </w:r>
          </w:p>
        </w:tc>
      </w:tr>
      <w:tr w14:paraId="6A5A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52" w:type="pct"/>
            <w:vAlign w:val="center"/>
          </w:tcPr>
          <w:p w14:paraId="5A0629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352" w:type="pct"/>
            <w:vMerge w:val="continue"/>
            <w:vAlign w:val="center"/>
          </w:tcPr>
          <w:p w14:paraId="0139A68F">
            <w:pPr>
              <w:widowControl/>
              <w:jc w:val="left"/>
              <w:rPr>
                <w:rFonts w:hint="eastAsia" w:ascii="宋体" w:hAnsi="宋体" w:cs="宋体"/>
                <w:color w:val="000000"/>
                <w:kern w:val="0"/>
                <w:sz w:val="22"/>
                <w:szCs w:val="22"/>
              </w:rPr>
            </w:pPr>
          </w:p>
        </w:tc>
        <w:tc>
          <w:tcPr>
            <w:tcW w:w="352" w:type="pct"/>
            <w:vMerge w:val="continue"/>
            <w:vAlign w:val="center"/>
          </w:tcPr>
          <w:p w14:paraId="34BAEE33">
            <w:pPr>
              <w:widowControl/>
              <w:jc w:val="left"/>
              <w:rPr>
                <w:rFonts w:hint="eastAsia" w:ascii="宋体" w:hAnsi="宋体" w:cs="宋体"/>
                <w:color w:val="000000"/>
                <w:kern w:val="0"/>
                <w:sz w:val="22"/>
                <w:szCs w:val="22"/>
              </w:rPr>
            </w:pPr>
          </w:p>
        </w:tc>
        <w:tc>
          <w:tcPr>
            <w:tcW w:w="352" w:type="pct"/>
            <w:vAlign w:val="center"/>
          </w:tcPr>
          <w:p w14:paraId="344CCDA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HIS系统</w:t>
            </w:r>
          </w:p>
        </w:tc>
        <w:tc>
          <w:tcPr>
            <w:tcW w:w="3592" w:type="pct"/>
            <w:vAlign w:val="center"/>
          </w:tcPr>
          <w:p w14:paraId="467F0AF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1.支持与院内HIS系统进行数据对接,主要数据包含:门诊信息、住院信息、检验检查数据等信息。</w:t>
            </w:r>
          </w:p>
        </w:tc>
      </w:tr>
      <w:tr w14:paraId="5D50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vAlign w:val="center"/>
          </w:tcPr>
          <w:p w14:paraId="0BCA35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352" w:type="pct"/>
            <w:vMerge w:val="continue"/>
            <w:vAlign w:val="center"/>
          </w:tcPr>
          <w:p w14:paraId="0EC99582">
            <w:pPr>
              <w:widowControl/>
              <w:jc w:val="left"/>
              <w:rPr>
                <w:rFonts w:hint="eastAsia" w:ascii="宋体" w:hAnsi="宋体" w:cs="宋体"/>
                <w:color w:val="000000"/>
                <w:kern w:val="0"/>
                <w:sz w:val="22"/>
                <w:szCs w:val="22"/>
              </w:rPr>
            </w:pPr>
          </w:p>
        </w:tc>
        <w:tc>
          <w:tcPr>
            <w:tcW w:w="352" w:type="pct"/>
            <w:vMerge w:val="continue"/>
            <w:vAlign w:val="center"/>
          </w:tcPr>
          <w:p w14:paraId="3396F8CD">
            <w:pPr>
              <w:widowControl/>
              <w:jc w:val="left"/>
              <w:rPr>
                <w:rFonts w:hint="eastAsia" w:ascii="宋体" w:hAnsi="宋体" w:cs="宋体"/>
                <w:color w:val="000000"/>
                <w:kern w:val="0"/>
                <w:sz w:val="22"/>
                <w:szCs w:val="22"/>
              </w:rPr>
            </w:pPr>
          </w:p>
        </w:tc>
        <w:tc>
          <w:tcPr>
            <w:tcW w:w="352" w:type="pct"/>
            <w:vAlign w:val="center"/>
          </w:tcPr>
          <w:p w14:paraId="10DAC7C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医共体平台接口</w:t>
            </w:r>
          </w:p>
        </w:tc>
        <w:tc>
          <w:tcPr>
            <w:tcW w:w="3592" w:type="pct"/>
            <w:vAlign w:val="center"/>
          </w:tcPr>
          <w:p w14:paraId="56919B9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预留标准接口,支持与医共体平台进行数据对接。</w:t>
            </w:r>
          </w:p>
        </w:tc>
      </w:tr>
      <w:tr w14:paraId="54A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52" w:type="pct"/>
            <w:vAlign w:val="center"/>
          </w:tcPr>
          <w:p w14:paraId="3F721B1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352" w:type="pct"/>
            <w:vMerge w:val="continue"/>
            <w:vAlign w:val="center"/>
          </w:tcPr>
          <w:p w14:paraId="54C17E92">
            <w:pPr>
              <w:widowControl/>
              <w:jc w:val="left"/>
              <w:rPr>
                <w:rFonts w:hint="eastAsia" w:ascii="宋体" w:hAnsi="宋体" w:cs="宋体"/>
                <w:color w:val="000000"/>
                <w:kern w:val="0"/>
                <w:sz w:val="22"/>
                <w:szCs w:val="22"/>
              </w:rPr>
            </w:pPr>
          </w:p>
        </w:tc>
        <w:tc>
          <w:tcPr>
            <w:tcW w:w="352" w:type="pct"/>
            <w:vMerge w:val="restart"/>
            <w:vAlign w:val="center"/>
          </w:tcPr>
          <w:p w14:paraId="7368B81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增值应用</w:t>
            </w:r>
          </w:p>
        </w:tc>
        <w:tc>
          <w:tcPr>
            <w:tcW w:w="352" w:type="pct"/>
            <w:shd w:val="clear" w:color="000000" w:fill="FFFFFF"/>
            <w:vAlign w:val="center"/>
          </w:tcPr>
          <w:p w14:paraId="0B2F7A2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积分应用</w:t>
            </w:r>
          </w:p>
        </w:tc>
        <w:tc>
          <w:tcPr>
            <w:tcW w:w="3592" w:type="pct"/>
            <w:vAlign w:val="center"/>
          </w:tcPr>
          <w:p w14:paraId="7F278CD4">
            <w:pPr>
              <w:widowControl/>
              <w:jc w:val="left"/>
              <w:rPr>
                <w:rFonts w:hint="eastAsia" w:ascii="宋体" w:hAnsi="宋体" w:cs="宋体"/>
                <w:kern w:val="0"/>
                <w:sz w:val="22"/>
                <w:szCs w:val="22"/>
              </w:rPr>
            </w:pPr>
            <w:r>
              <w:rPr>
                <w:rFonts w:hint="eastAsia" w:ascii="宋体" w:hAnsi="宋体" w:cs="宋体"/>
                <w:kern w:val="0"/>
                <w:sz w:val="22"/>
                <w:szCs w:val="22"/>
              </w:rPr>
              <w:t>以健康积分换福利体系，引导辖区居民学习健康知识、参与健康管理、践行健康的生活方式，持续积累更新个人“健康钱包”积分，实现积分兑换健康服务、健康商品等。</w:t>
            </w:r>
            <w:r>
              <w:rPr>
                <w:rFonts w:hint="eastAsia" w:ascii="宋体" w:hAnsi="宋体" w:cs="宋体"/>
                <w:kern w:val="0"/>
                <w:sz w:val="22"/>
                <w:szCs w:val="22"/>
              </w:rPr>
              <w:br w:type="textWrapping"/>
            </w:r>
            <w:r>
              <w:rPr>
                <w:rFonts w:hint="eastAsia" w:ascii="宋体" w:hAnsi="宋体" w:cs="宋体"/>
                <w:kern w:val="0"/>
                <w:sz w:val="22"/>
                <w:szCs w:val="22"/>
              </w:rPr>
              <w:t>1.积分规则：支持按消费金额或服务次数两种积分累积方式。</w:t>
            </w:r>
            <w:r>
              <w:rPr>
                <w:rFonts w:hint="eastAsia" w:ascii="宋体" w:hAnsi="宋体" w:cs="宋体"/>
                <w:kern w:val="0"/>
                <w:sz w:val="22"/>
                <w:szCs w:val="22"/>
              </w:rPr>
              <w:br w:type="textWrapping"/>
            </w:r>
            <w:r>
              <w:rPr>
                <w:rFonts w:hint="eastAsia" w:ascii="宋体" w:hAnsi="宋体" w:cs="宋体"/>
                <w:kern w:val="0"/>
                <w:sz w:val="22"/>
                <w:szCs w:val="22"/>
              </w:rPr>
              <w:t>2.积分查询：提供院内系统与公众号双渠道积分查看功能。</w:t>
            </w:r>
            <w:r>
              <w:rPr>
                <w:rFonts w:hint="eastAsia" w:ascii="宋体" w:hAnsi="宋体" w:cs="宋体"/>
                <w:kern w:val="0"/>
                <w:sz w:val="22"/>
                <w:szCs w:val="22"/>
              </w:rPr>
              <w:br w:type="textWrapping"/>
            </w:r>
            <w:r>
              <w:rPr>
                <w:rFonts w:hint="eastAsia" w:ascii="宋体" w:hAnsi="宋体" w:cs="宋体"/>
                <w:kern w:val="0"/>
                <w:sz w:val="22"/>
                <w:szCs w:val="22"/>
              </w:rPr>
              <w:t>3.线下兑换：医院工作人员可代客户完成积分商品兑换。</w:t>
            </w:r>
            <w:r>
              <w:rPr>
                <w:rFonts w:hint="eastAsia" w:ascii="宋体" w:hAnsi="宋体" w:cs="宋体"/>
                <w:kern w:val="0"/>
                <w:sz w:val="22"/>
                <w:szCs w:val="22"/>
              </w:rPr>
              <w:br w:type="textWrapping"/>
            </w:r>
            <w:r>
              <w:rPr>
                <w:rFonts w:hint="eastAsia" w:ascii="宋体" w:hAnsi="宋体" w:cs="宋体"/>
                <w:kern w:val="0"/>
                <w:sz w:val="22"/>
                <w:szCs w:val="22"/>
              </w:rPr>
              <w:t>4.线上兑换：客户通过公众号申请兑换后由医院核销。</w:t>
            </w:r>
            <w:r>
              <w:rPr>
                <w:rFonts w:hint="eastAsia" w:ascii="宋体" w:hAnsi="宋体" w:cs="宋体"/>
                <w:kern w:val="0"/>
                <w:sz w:val="22"/>
                <w:szCs w:val="22"/>
              </w:rPr>
              <w:br w:type="textWrapping"/>
            </w:r>
            <w:r>
              <w:rPr>
                <w:rFonts w:hint="eastAsia" w:ascii="宋体" w:hAnsi="宋体" w:cs="宋体"/>
                <w:kern w:val="0"/>
                <w:sz w:val="22"/>
                <w:szCs w:val="22"/>
              </w:rPr>
              <w:t>5.商品维护：管理积分兑换商品的上下架及库存状态。</w:t>
            </w:r>
          </w:p>
        </w:tc>
      </w:tr>
      <w:tr w14:paraId="2A0D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52" w:type="pct"/>
            <w:vAlign w:val="center"/>
          </w:tcPr>
          <w:p w14:paraId="68D2F1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352" w:type="pct"/>
            <w:vMerge w:val="continue"/>
            <w:vAlign w:val="center"/>
          </w:tcPr>
          <w:p w14:paraId="5323C99B">
            <w:pPr>
              <w:widowControl/>
              <w:jc w:val="left"/>
              <w:rPr>
                <w:rFonts w:hint="eastAsia" w:ascii="宋体" w:hAnsi="宋体" w:cs="宋体"/>
                <w:color w:val="000000"/>
                <w:kern w:val="0"/>
                <w:sz w:val="22"/>
                <w:szCs w:val="22"/>
              </w:rPr>
            </w:pPr>
          </w:p>
        </w:tc>
        <w:tc>
          <w:tcPr>
            <w:tcW w:w="352" w:type="pct"/>
            <w:vMerge w:val="continue"/>
            <w:vAlign w:val="center"/>
          </w:tcPr>
          <w:p w14:paraId="78786561">
            <w:pPr>
              <w:widowControl/>
              <w:jc w:val="left"/>
              <w:rPr>
                <w:rFonts w:hint="eastAsia" w:ascii="宋体" w:hAnsi="宋体" w:cs="宋体"/>
                <w:color w:val="000000"/>
                <w:kern w:val="0"/>
                <w:sz w:val="22"/>
                <w:szCs w:val="22"/>
              </w:rPr>
            </w:pPr>
          </w:p>
        </w:tc>
        <w:tc>
          <w:tcPr>
            <w:tcW w:w="352" w:type="pct"/>
            <w:shd w:val="clear" w:color="000000" w:fill="FFFFFF"/>
            <w:vAlign w:val="center"/>
          </w:tcPr>
          <w:p w14:paraId="4E80DBB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增值包应用</w:t>
            </w:r>
          </w:p>
        </w:tc>
        <w:tc>
          <w:tcPr>
            <w:tcW w:w="3592" w:type="pct"/>
            <w:vAlign w:val="center"/>
          </w:tcPr>
          <w:p w14:paraId="7D813843">
            <w:pPr>
              <w:widowControl/>
              <w:jc w:val="left"/>
              <w:rPr>
                <w:rFonts w:hint="eastAsia" w:ascii="宋体" w:hAnsi="宋体" w:cs="宋体"/>
                <w:kern w:val="0"/>
                <w:sz w:val="22"/>
                <w:szCs w:val="22"/>
              </w:rPr>
            </w:pPr>
            <w:r>
              <w:rPr>
                <w:rFonts w:hint="eastAsia" w:ascii="宋体" w:hAnsi="宋体" w:cs="宋体"/>
                <w:kern w:val="0"/>
                <w:sz w:val="22"/>
                <w:szCs w:val="22"/>
              </w:rPr>
              <w:t>1.增值包创建：支持自定义增值包内容并自动计算总金额。</w:t>
            </w:r>
            <w:r>
              <w:rPr>
                <w:rFonts w:hint="eastAsia" w:ascii="宋体" w:hAnsi="宋体" w:cs="宋体"/>
                <w:kern w:val="0"/>
                <w:sz w:val="22"/>
                <w:szCs w:val="22"/>
              </w:rPr>
              <w:br w:type="textWrapping"/>
            </w:r>
            <w:r>
              <w:rPr>
                <w:rFonts w:hint="eastAsia" w:ascii="宋体" w:hAnsi="宋体" w:cs="宋体"/>
                <w:kern w:val="0"/>
                <w:sz w:val="22"/>
                <w:szCs w:val="22"/>
              </w:rPr>
              <w:t>2.增值包审核：管理员需人工审核新建的增值包。</w:t>
            </w:r>
            <w:r>
              <w:rPr>
                <w:rFonts w:hint="eastAsia" w:ascii="宋体" w:hAnsi="宋体" w:cs="宋体"/>
                <w:kern w:val="0"/>
                <w:sz w:val="22"/>
                <w:szCs w:val="22"/>
              </w:rPr>
              <w:br w:type="textWrapping"/>
            </w:r>
            <w:r>
              <w:rPr>
                <w:rFonts w:hint="eastAsia" w:ascii="宋体" w:hAnsi="宋体" w:cs="宋体"/>
                <w:kern w:val="0"/>
                <w:sz w:val="22"/>
                <w:szCs w:val="22"/>
              </w:rPr>
              <w:t>3.新客户签约：为未建档客户提供完整的增值包购买流程。</w:t>
            </w:r>
            <w:r>
              <w:rPr>
                <w:rFonts w:hint="eastAsia" w:ascii="宋体" w:hAnsi="宋体" w:cs="宋体"/>
                <w:kern w:val="0"/>
                <w:sz w:val="22"/>
                <w:szCs w:val="22"/>
              </w:rPr>
              <w:br w:type="textWrapping"/>
            </w:r>
            <w:r>
              <w:rPr>
                <w:rFonts w:hint="eastAsia" w:ascii="宋体" w:hAnsi="宋体" w:cs="宋体"/>
                <w:kern w:val="0"/>
                <w:sz w:val="22"/>
                <w:szCs w:val="22"/>
              </w:rPr>
              <w:t>4.已建档客户签约：通过关键信息快速检索并完成客户签约。</w:t>
            </w:r>
            <w:r>
              <w:rPr>
                <w:rFonts w:hint="eastAsia" w:ascii="宋体" w:hAnsi="宋体" w:cs="宋体"/>
                <w:kern w:val="0"/>
                <w:sz w:val="22"/>
                <w:szCs w:val="22"/>
              </w:rPr>
              <w:br w:type="textWrapping"/>
            </w:r>
            <w:r>
              <w:rPr>
                <w:rFonts w:hint="eastAsia" w:ascii="宋体" w:hAnsi="宋体" w:cs="宋体"/>
                <w:kern w:val="0"/>
                <w:sz w:val="22"/>
                <w:szCs w:val="22"/>
              </w:rPr>
              <w:t>5.履约管理：记录服务执行情况并限制超额使用。</w:t>
            </w:r>
            <w:r>
              <w:rPr>
                <w:rFonts w:hint="eastAsia" w:ascii="宋体" w:hAnsi="宋体" w:cs="宋体"/>
                <w:kern w:val="0"/>
                <w:sz w:val="22"/>
                <w:szCs w:val="22"/>
              </w:rPr>
              <w:br w:type="textWrapping"/>
            </w:r>
            <w:r>
              <w:rPr>
                <w:rFonts w:hint="eastAsia" w:ascii="宋体" w:hAnsi="宋体" w:cs="宋体"/>
                <w:kern w:val="0"/>
                <w:sz w:val="22"/>
                <w:szCs w:val="22"/>
              </w:rPr>
              <w:t>6.作废退费：允许撤销未履约的签约并自动更新状态。</w:t>
            </w:r>
            <w:r>
              <w:rPr>
                <w:rFonts w:hint="eastAsia" w:ascii="宋体" w:hAnsi="宋体" w:cs="宋体"/>
                <w:kern w:val="0"/>
                <w:sz w:val="22"/>
                <w:szCs w:val="22"/>
              </w:rPr>
              <w:br w:type="textWrapping"/>
            </w:r>
            <w:r>
              <w:rPr>
                <w:rFonts w:hint="eastAsia" w:ascii="宋体" w:hAnsi="宋体" w:cs="宋体"/>
                <w:kern w:val="0"/>
                <w:sz w:val="22"/>
                <w:szCs w:val="22"/>
              </w:rPr>
              <w:t>7.支付对账：整合支付平台数据实现交易记录查询。</w:t>
            </w:r>
          </w:p>
        </w:tc>
      </w:tr>
      <w:tr w14:paraId="1575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trPr>
        <w:tc>
          <w:tcPr>
            <w:tcW w:w="352" w:type="pct"/>
            <w:vAlign w:val="center"/>
          </w:tcPr>
          <w:p w14:paraId="01612E3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352" w:type="pct"/>
            <w:vMerge w:val="restart"/>
            <w:vAlign w:val="center"/>
          </w:tcPr>
          <w:p w14:paraId="50847E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排队叫号系统</w:t>
            </w:r>
          </w:p>
        </w:tc>
        <w:tc>
          <w:tcPr>
            <w:tcW w:w="352" w:type="pct"/>
            <w:shd w:val="clear" w:color="000000" w:fill="FFFFFF"/>
            <w:vAlign w:val="center"/>
          </w:tcPr>
          <w:p w14:paraId="24CD83C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门诊排队叫号系统</w:t>
            </w:r>
          </w:p>
        </w:tc>
        <w:tc>
          <w:tcPr>
            <w:tcW w:w="3944" w:type="pct"/>
            <w:gridSpan w:val="2"/>
            <w:shd w:val="clear" w:color="000000" w:fill="FFFFFF"/>
            <w:vAlign w:val="center"/>
          </w:tcPr>
          <w:p w14:paraId="7A376FC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1.患者队列分配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分配病人到各个医生(支持手工、自动分配病人)等待队列。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2.医生叫号操作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医生叫号、重呼、跳过、休息的处理,与门诊医生工作站高度集成。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3.分诊台护士操作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分诊台护士叫号、重呼、跳过、分诊的处理。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4.特殊患者队列管理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排队序列科学合理,能够处理返诊患者、迟到患者、预约患者等不同类别的患者。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5.智能队列调度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能够根据医生工作站设定的诊室状态、登陆状态,根据医生出诊排班情况安排排队信息。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6.多媒体叫号显示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诊室在呼叫下一位患者时,LED屏幕(或者电视机)用醒目的方式突出显示呼叫诊室和患者门诊挂号号码,并支持语音呼叫。</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7.诊室管理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分诊护士台对应的诊室增加、删除等操作。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8.隐私保护显示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病人隐私保护,名字的某个字可以用特殊符号代替。</w:t>
            </w:r>
          </w:p>
        </w:tc>
      </w:tr>
      <w:tr w14:paraId="04A5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352" w:type="pct"/>
            <w:vAlign w:val="center"/>
          </w:tcPr>
          <w:p w14:paraId="047D4C0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352" w:type="pct"/>
            <w:vMerge w:val="continue"/>
            <w:vAlign w:val="center"/>
          </w:tcPr>
          <w:p w14:paraId="3CF2E42B">
            <w:pPr>
              <w:widowControl/>
              <w:jc w:val="left"/>
              <w:rPr>
                <w:rFonts w:hint="eastAsia" w:ascii="宋体" w:hAnsi="宋体" w:cs="宋体"/>
                <w:color w:val="000000"/>
                <w:kern w:val="0"/>
                <w:sz w:val="22"/>
                <w:szCs w:val="22"/>
              </w:rPr>
            </w:pPr>
          </w:p>
        </w:tc>
        <w:tc>
          <w:tcPr>
            <w:tcW w:w="352" w:type="pct"/>
            <w:shd w:val="clear" w:color="000000" w:fill="FFFFFF"/>
            <w:vAlign w:val="center"/>
          </w:tcPr>
          <w:p w14:paraId="7116B7D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医技检查排队系统</w:t>
            </w:r>
          </w:p>
        </w:tc>
        <w:tc>
          <w:tcPr>
            <w:tcW w:w="3944" w:type="pct"/>
            <w:gridSpan w:val="2"/>
            <w:shd w:val="clear" w:color="000000" w:fill="FFFFFF"/>
            <w:vAlign w:val="center"/>
          </w:tcPr>
          <w:p w14:paraId="0CE76BA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1.多类型患者整合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门诊、住院、急诊患者统一排队,自动分类管理。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2.优先级设置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根据紧急程度或患者类型调整呼叫顺序。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3.检查流程控制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支持签到、挂起、滞后等操作，灵活适配不同医技科室流程。</w:t>
            </w:r>
          </w:p>
        </w:tc>
      </w:tr>
      <w:tr w14:paraId="59B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52" w:type="pct"/>
            <w:vAlign w:val="center"/>
          </w:tcPr>
          <w:p w14:paraId="5100BC9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352" w:type="pct"/>
            <w:vMerge w:val="continue"/>
            <w:vAlign w:val="center"/>
          </w:tcPr>
          <w:p w14:paraId="46D6E65E">
            <w:pPr>
              <w:widowControl/>
              <w:jc w:val="left"/>
              <w:rPr>
                <w:rFonts w:hint="eastAsia" w:ascii="宋体" w:hAnsi="宋体" w:cs="宋体"/>
                <w:color w:val="000000"/>
                <w:kern w:val="0"/>
                <w:sz w:val="22"/>
                <w:szCs w:val="22"/>
              </w:rPr>
            </w:pPr>
          </w:p>
        </w:tc>
        <w:tc>
          <w:tcPr>
            <w:tcW w:w="352" w:type="pct"/>
            <w:shd w:val="clear" w:color="000000" w:fill="FFFFFF"/>
            <w:vAlign w:val="center"/>
          </w:tcPr>
          <w:p w14:paraId="52AFDB3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 药房排队叫号系统</w:t>
            </w:r>
          </w:p>
        </w:tc>
        <w:tc>
          <w:tcPr>
            <w:tcW w:w="3944" w:type="pct"/>
            <w:gridSpan w:val="2"/>
            <w:shd w:val="clear" w:color="000000" w:fill="FFFFFF"/>
            <w:vAlign w:val="center"/>
          </w:tcPr>
          <w:p w14:paraId="118B07A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1.自助签到</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患者缴费后支持通过终端自助签到，自动生成配药队列。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2.药师叫号操作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支持药师一键呼叫、暂存、跳号等操作，提升发药效率。</w:t>
            </w:r>
          </w:p>
        </w:tc>
      </w:tr>
      <w:tr w14:paraId="2619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52" w:type="pct"/>
            <w:vAlign w:val="center"/>
          </w:tcPr>
          <w:p w14:paraId="1DBB111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352" w:type="pct"/>
            <w:vMerge w:val="continue"/>
            <w:vAlign w:val="center"/>
          </w:tcPr>
          <w:p w14:paraId="20CF7D76">
            <w:pPr>
              <w:widowControl/>
              <w:jc w:val="left"/>
              <w:rPr>
                <w:rFonts w:hint="eastAsia" w:ascii="宋体" w:hAnsi="宋体" w:cs="宋体"/>
                <w:color w:val="000000"/>
                <w:kern w:val="0"/>
                <w:sz w:val="22"/>
                <w:szCs w:val="22"/>
              </w:rPr>
            </w:pPr>
          </w:p>
        </w:tc>
        <w:tc>
          <w:tcPr>
            <w:tcW w:w="352" w:type="pct"/>
            <w:shd w:val="clear" w:color="000000" w:fill="FFFFFF"/>
            <w:vAlign w:val="center"/>
          </w:tcPr>
          <w:p w14:paraId="3C6EA66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数据管理后台</w:t>
            </w:r>
          </w:p>
        </w:tc>
        <w:tc>
          <w:tcPr>
            <w:tcW w:w="3944" w:type="pct"/>
            <w:gridSpan w:val="2"/>
            <w:shd w:val="clear" w:color="000000" w:fill="FFFFFF"/>
            <w:vAlign w:val="center"/>
          </w:tcPr>
          <w:p w14:paraId="62E64F4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1.实时监控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动态跟踪各科室排队状态、医生接诊量及患者等待时长。</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2.统计分析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生成多维度报表，辅助优化资源配置与流程决策。</w:t>
            </w:r>
          </w:p>
        </w:tc>
      </w:tr>
      <w:tr w14:paraId="390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52" w:type="pct"/>
            <w:vAlign w:val="center"/>
          </w:tcPr>
          <w:p w14:paraId="04323C8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352" w:type="pct"/>
            <w:vMerge w:val="continue"/>
            <w:vAlign w:val="center"/>
          </w:tcPr>
          <w:p w14:paraId="3DC2B7C9">
            <w:pPr>
              <w:widowControl/>
              <w:jc w:val="left"/>
              <w:rPr>
                <w:rFonts w:hint="eastAsia" w:ascii="宋体" w:hAnsi="宋体" w:cs="宋体"/>
                <w:color w:val="000000"/>
                <w:kern w:val="0"/>
                <w:sz w:val="22"/>
                <w:szCs w:val="22"/>
              </w:rPr>
            </w:pPr>
          </w:p>
        </w:tc>
        <w:tc>
          <w:tcPr>
            <w:tcW w:w="352" w:type="pct"/>
            <w:shd w:val="clear" w:color="000000" w:fill="FFFFFF"/>
            <w:vAlign w:val="center"/>
          </w:tcPr>
          <w:p w14:paraId="5AA3CB2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 HIS系统对接</w:t>
            </w:r>
          </w:p>
        </w:tc>
        <w:tc>
          <w:tcPr>
            <w:tcW w:w="3944" w:type="pct"/>
            <w:gridSpan w:val="2"/>
            <w:shd w:val="clear" w:color="000000" w:fill="FFFFFF"/>
            <w:vAlign w:val="center"/>
          </w:tcPr>
          <w:p w14:paraId="2772E25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1.数据自动同步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与HIS无缝交互，实时同步患者信息、排队状态等数据。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2.状态联动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诊室状态、医生排班变更自动触发队列调整，确保信息一致性。</w:t>
            </w:r>
          </w:p>
        </w:tc>
      </w:tr>
    </w:tbl>
    <w:p w14:paraId="75036762">
      <w:pPr>
        <w:pStyle w:val="3"/>
        <w:numPr>
          <w:ilvl w:val="0"/>
          <w:numId w:val="0"/>
        </w:numPr>
        <w:ind w:leftChars="0"/>
        <w:jc w:val="center"/>
        <w:rPr>
          <w:color w:val="auto"/>
        </w:rPr>
      </w:pPr>
      <w:r>
        <w:rPr>
          <w:rFonts w:hint="eastAsia"/>
          <w:color w:val="auto"/>
        </w:rPr>
        <w:t>配套硬件</w:t>
      </w:r>
      <w:r>
        <w:rPr>
          <w:rFonts w:hint="eastAsia"/>
          <w:color w:val="auto"/>
          <w:lang w:eastAsia="zh-CN"/>
        </w:rPr>
        <w:t>及服务</w:t>
      </w:r>
      <w:r>
        <w:rPr>
          <w:rFonts w:hint="eastAsia"/>
          <w:color w:val="auto"/>
        </w:rPr>
        <w:t>设施</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371"/>
        <w:gridCol w:w="6119"/>
        <w:gridCol w:w="931"/>
        <w:gridCol w:w="840"/>
      </w:tblGrid>
      <w:tr w14:paraId="2933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72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5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7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2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9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364F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2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A9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显示大屏</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F9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1.具备对患者姓名进行隐私保护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2.具备叫号提示，被叫号的患者会进行特殊提示，具备语音播报。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3.具备后台调节设备叫号语音大小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4.配置≥70英寸显示屏，分辨率≥1920*1080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5.具有≥1*USB2.0接口、≥1*RJ45网络接口、≥1*HDMI接口、音频输出接口，扬声器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5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1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BFB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0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显示大屏</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3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1.具备对患者姓名进行隐私保护，以“*”号显示患者姓名，如张*、黄*艺。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2.具备叫号提示，被叫号的患者会进行特殊提示，具备语音播报。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3.具备后台调节设备叫号语音大小，具备对显示界面进行远程截图，具备定时开关机和重启设备、重启软件功能。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4.配置≥55英寸显示屏，分辨率≥1920*1080，采用等同或优于莫氏7级硬度防爆钢化玻璃。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5.配置≥四核处理器，运行内存≥2GB，系统内存≥16GB，运行等同或优于Android7.0版本系统。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6.具有≥2*USB2.0接口、≥1*RJ45网络接口、≥1*TF卡接口、≥1*HDMI接口、≥1*3.5mm音频输出接口，≥2*5W(8Ω)扬声器。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1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EF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EE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数字功放</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16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1.功放采用D类放大电路，要求内置开关电源。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2.设备应采用1U高度19英寸机箱设计。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3.具有≥1通道欧式端子平衡输入，≥1通道欧式端子输出。具有≥1通道数字功率放大器，额定功率输出≥60W，具备≥1路100V或4-16Ω输出端子接线扬声器。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4.支持故障输出功能，可远程监控功放设备工作状态。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5.设备内置≥1通道独立电源供电功能。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6.支持短路、过载、过热保护功能。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E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45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5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0E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天花喇叭</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6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1.额定功率(100V)：1.5W, 3W, 6W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2.额定功率(70V)：0.75W, 1.5W, 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3.灵敏度(1W/1M)：≥92dB±3dB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4.频率响应(-10dB)：等同或优于110Hz-18kHz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5.喇叭单元：≥5"×1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D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4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77F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D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分诊信息屏</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0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1.具备显示当前诊室坐诊医生信息，包含医生照片、姓名、职称、简介，具备显示患者信息，包含当前就诊患者信息、下一位患者信息、排队等候患者信息。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2.具备在屏幕底部显示宣传标语，标语内容可通过后台软件进行修改。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3.具备对患者姓名进行隐私保护，以“*”号显示患者姓名，如张*、黄*艺。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4.具备叫号提示，被叫号的患者会进行特殊提示，具备语音播报。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5.具备后台调节设备叫号语音，并可对显示界面进行远程截图，具备设定任意时间段进行定时开关机。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6.配置≥21.5英寸显示屏，分辨率≥1920*1080，采用等同或优于莫氏7级硬度防爆钢化玻璃。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7.配置≥四核处理器，运行内存≥2GB，系统内存≥32GB，运行等同或优于Android 11版本系统。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8.具有≥2*USB3.0接口、≥1*RJ45网络接口、≥1*TF卡接口、≥1*3.5mm音频输出接口、≥1*HDMI接口，≥2*3W(8Ω)扬声器。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E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5CB6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操作终端</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8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1、处理器：≥12 核, ≥2.1GHz 主频；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2、内存：容量≥16GB；频率≥3200Mhz；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≥256G SSD+1TB HDD；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4、显卡：≥2G显卡,支持 VGA+HDMI 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5、电源：功率≤180W；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6、接口：前置 USB3.0 接口≥4 个；后置 USB2.0≥4个；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7、机箱尺寸： ≥13L；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8、显示器： ≥23.8 英寸，支持 1080P，与主机采用同品牌；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0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27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D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4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分诊终端</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8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1、处理器：≥10 核, ≥2.5GHz 主频；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2、内存：容量≥8GB；频率≥3200Mhz；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 ≥512G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4、显卡：≥2G显卡,支持 VGA+HDMI 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5、电源：功率≤180W；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6、接口：前置 USB3.0 接口≥4 个；后置 USB2.0≥4个；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7、机箱尺寸： ≥13L；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8、显示器： ≥23.8 英寸，支持 1080P，与主机采用同品牌；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9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F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B24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3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2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F5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支持24 个 10/100/1000Base-T 电口，支持4 个 2.5GE SFP 光口，1个 Console 口,交换容量432G 背板带宽96M支持 SP/WRR/SP+WRR 队列调度，支持端口限速，支持端口镜像功能，支持端口隔离，支持端口聚合(聚合组端口最大 8 个端口，最多 8 个聚合组)，支持 SSH，为用户登录提供安全加密通道，持 FTP、SFTP 文件上下载管理，支持 SNMP V1/V2/V3，支持端口自环检测， 支持AC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内置单电源，无需另外配置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6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C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DF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F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30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91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支持802.1X，MAC认证，端口安全，支持LACP协议，支持4K个VLAN，支持最大16K MAC地址及黑洞MAC等特性，支持基于端口的二三层优先级自动映射，支持基于端口的镜像，支持重定向，支持端口隔离，支持访问控制列表，支持端口限速，支持IPv6，支持Jumbo Frame，支持以太网OAM：802.3ah 和802.1ag (CFD:Connectivity Fault Detection，连通错误检测）丰富IPv6功能。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支持虚拟化技术，就是把多台物理设备互相连接起来，使其虚拟为一台逻辑设备，用户可以将这多台设备看成一台单一设备进行管理和使用。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支持丰富的ARP防御功能，例如ARP Detection，实现用户合法性检查功能和ARP报文有效性检查功能，ARP限速，避免大量ARP报文对CPU进行冲击等等。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支持L2（Layer 2）~L4（Layer 4）包过滤功能，提供基于源MAC地址、目的MAC地址、源IP地址、目的IP地址、TCP/UDP端口号、协议类型、VLAN的流分类。提供灵活的对列调度算法，可以同时基于端口和队列进行设置，支持SP、WRR、SP+WRR三种模式。同时还支持入/出方向双向ACL、支持流量监管CAR功能、支持出/入方向的端口/流镜像，用于对指定端口上的报文进行监控，将端口上的数据包复制到监控端口，以进行网络检测和故障排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支持SNMPv1/v2/v3（Simple Network Management Protocol）。支持CLI命令行，Web网管，TELNET，使设备管理更方便，并且支持SSH2.0等加密方式，使得管理更加安全。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具备设备级和链路级的多重可靠性保护。硬件支持过流保护、过压保护和过热保护技术；支持电源和风扇的故障检测及告警，可以根据温度的变化自动调节风扇的转速，这些设计使设备具备了很高的可靠性。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交换容量：336Gbps/3.36Tbps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包转发率：126Mpps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端口：24个10/100/1000Base-T自适应以太网端口，4个千兆SFP口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链路聚合：支持GE端口聚合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支持静态/动态聚合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支持跨设备聚合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端口镜像：支持端口镜像，支持远程镜像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虚拟化：支持IRF2智能弹性架构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支持分布式设备管理，分布式链路聚合，分布式弹性路由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支持通过标准以太网接口等方式进行堆叠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NTP：支持NTP时钟 </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56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E2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3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壁挂机柜</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1)参照标准：ANSI/EIA RS-310-D、DIN41491、GB/T 3047.8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2)工艺精湛、尺寸精密，极富时代气息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3)国际流行的烟灰色钢化玻璃前门； 网孔门可选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4)主体颜色可选： 国际流行电脑灰或黑色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5)可方便拆卸的左右侧门，全方位操作，多方位察看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6)材料： 全部选用优质冷轧钢板制作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7)表面处理： 脱脂、酸洗、防锈磷化、纯水清洗、静电喷塑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8)最大静态负载：60KG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9)工作温度：-5℃~+40℃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10)相对湿度：≤85%（+30℃时）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1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9E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C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强弱电改造</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E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根据清单所示完成该项工作的一切内容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PVC槽：宽*高横截面尺寸不低于20*10mm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接线盒: 国标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电线：BV2.5mm2/BV1.5mm2塑铜线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网线：超五类UTP非屏蔽双绞线</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2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7E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5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1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根据清单所示完成该项工作的一切内容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12芯单模光缆敷设，熔接≥6芯 收发器≥1光1电</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E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7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B6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B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F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云资源服务</w:t>
            </w:r>
          </w:p>
        </w:tc>
        <w:tc>
          <w:tcPr>
            <w:tcW w:w="49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3B0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提供不少于16vCPU计算资源服务，32G内存服务，1.5T可以存储空间服务，具体分配根据实际需求划分。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4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F2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安全防护服务</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入侵防御IPS服务，僵尸网络模块服务，应用识别与流控服务等，保障用户安全。</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5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9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D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AI算力服务</w:t>
            </w:r>
          </w:p>
        </w:tc>
        <w:tc>
          <w:tcPr>
            <w:tcW w:w="49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9DA5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提供总计不低于120TFLOPS的浮点运算能力</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F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22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8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互联网服务</w:t>
            </w:r>
          </w:p>
        </w:tc>
        <w:tc>
          <w:tcPr>
            <w:tcW w:w="4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提供100M互联网服务满足APP接入，并提供备案支撑。</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B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1条/年</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C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6475AD01"/>
    <w:p w14:paraId="0575CDDA">
      <w:pPr>
        <w:jc w:val="center"/>
        <w:outlineLvl w:val="0"/>
        <w:rPr>
          <w:rFonts w:cs="宋体"/>
          <w:b/>
          <w:bCs/>
          <w:kern w:val="44"/>
          <w:sz w:val="40"/>
          <w:szCs w:val="40"/>
        </w:rPr>
      </w:pPr>
      <w:r>
        <w:rPr>
          <w:rFonts w:hint="eastAsia"/>
        </w:rPr>
        <w:br w:type="page"/>
      </w:r>
      <w:bookmarkStart w:id="377" w:name="_Toc152656729"/>
      <w:r>
        <w:rPr>
          <w:rFonts w:hint="eastAsia" w:cs="宋体"/>
          <w:b/>
          <w:bCs/>
          <w:kern w:val="44"/>
          <w:sz w:val="40"/>
          <w:szCs w:val="40"/>
        </w:rPr>
        <w:t>第六章 响应文件格式</w:t>
      </w:r>
      <w:bookmarkEnd w:id="373"/>
      <w:bookmarkEnd w:id="374"/>
      <w:bookmarkEnd w:id="375"/>
      <w:bookmarkEnd w:id="377"/>
    </w:p>
    <w:p w14:paraId="1366DB1F">
      <w:pPr>
        <w:spacing w:line="480" w:lineRule="exact"/>
        <w:rPr>
          <w:rFonts w:ascii="宋体"/>
          <w:b/>
          <w:bCs/>
          <w:sz w:val="24"/>
          <w:szCs w:val="24"/>
        </w:rPr>
      </w:pPr>
    </w:p>
    <w:p w14:paraId="6BF0ED34">
      <w:pPr>
        <w:spacing w:line="480" w:lineRule="exact"/>
        <w:ind w:firstLine="1124" w:firstLineChars="400"/>
        <w:rPr>
          <w:b/>
          <w:bCs/>
          <w:sz w:val="28"/>
          <w:szCs w:val="28"/>
        </w:rPr>
      </w:pPr>
    </w:p>
    <w:p w14:paraId="14C8E5E5">
      <w:pPr>
        <w:spacing w:line="480" w:lineRule="exact"/>
        <w:jc w:val="center"/>
        <w:rPr>
          <w:sz w:val="28"/>
          <w:szCs w:val="28"/>
          <w:u w:val="single"/>
        </w:rPr>
      </w:pPr>
      <w:bookmarkStart w:id="378" w:name="_Toc29521_WPSOffice_Level1"/>
      <w:bookmarkStart w:id="379" w:name="_Toc12643_WPSOffice_Level1"/>
      <w:bookmarkStart w:id="380" w:name="_Toc736_WPSOffice_Level1"/>
      <w:bookmarkStart w:id="381" w:name="_Toc5541"/>
      <w:bookmarkStart w:id="382" w:name="_Toc7703_WPSOffice_Level1"/>
      <w:r>
        <w:rPr>
          <w:rFonts w:hint="eastAsia"/>
          <w:sz w:val="28"/>
          <w:szCs w:val="28"/>
          <w:u w:val="single"/>
        </w:rPr>
        <w:t>（项目名称）</w:t>
      </w:r>
      <w:bookmarkEnd w:id="378"/>
      <w:bookmarkEnd w:id="379"/>
    </w:p>
    <w:p w14:paraId="7A283B5C">
      <w:pPr>
        <w:spacing w:line="480" w:lineRule="exact"/>
      </w:pPr>
    </w:p>
    <w:p w14:paraId="747A28F6">
      <w:pPr>
        <w:spacing w:line="480" w:lineRule="exact"/>
      </w:pPr>
    </w:p>
    <w:p w14:paraId="0D825EFB">
      <w:pPr>
        <w:spacing w:line="480" w:lineRule="exact"/>
      </w:pPr>
    </w:p>
    <w:p w14:paraId="5D826F2A">
      <w:pPr>
        <w:jc w:val="center"/>
        <w:rPr>
          <w:b/>
          <w:bCs/>
          <w:sz w:val="72"/>
          <w:szCs w:val="72"/>
        </w:rPr>
      </w:pPr>
      <w:bookmarkStart w:id="383" w:name="_Toc13509_WPSOffice_Level2"/>
      <w:bookmarkStart w:id="384" w:name="_Toc13180_WPSOffice_Level1"/>
      <w:r>
        <w:rPr>
          <w:rFonts w:hint="eastAsia"/>
          <w:b/>
          <w:bCs/>
          <w:sz w:val="72"/>
          <w:szCs w:val="72"/>
        </w:rPr>
        <w:t>响 应 文 件</w:t>
      </w:r>
      <w:bookmarkEnd w:id="383"/>
      <w:bookmarkEnd w:id="384"/>
    </w:p>
    <w:p w14:paraId="6FEF8FFF">
      <w:pPr>
        <w:spacing w:line="480" w:lineRule="exact"/>
        <w:jc w:val="center"/>
        <w:rPr>
          <w:sz w:val="28"/>
          <w:szCs w:val="28"/>
        </w:rPr>
      </w:pPr>
      <w:bookmarkStart w:id="385" w:name="_Toc5702_WPSOffice_Level1"/>
      <w:r>
        <w:rPr>
          <w:rFonts w:hint="eastAsia"/>
          <w:sz w:val="28"/>
          <w:szCs w:val="28"/>
        </w:rPr>
        <w:t>项目编号：</w:t>
      </w:r>
      <w:bookmarkEnd w:id="385"/>
    </w:p>
    <w:p w14:paraId="54741F7F">
      <w:pPr>
        <w:spacing w:line="480" w:lineRule="exact"/>
      </w:pPr>
    </w:p>
    <w:p w14:paraId="05E940B4">
      <w:pPr>
        <w:spacing w:line="480" w:lineRule="exact"/>
      </w:pPr>
    </w:p>
    <w:p w14:paraId="6063ECA4">
      <w:pPr>
        <w:spacing w:line="480" w:lineRule="exact"/>
      </w:pPr>
    </w:p>
    <w:p w14:paraId="747A32B5">
      <w:pPr>
        <w:spacing w:line="480" w:lineRule="exact"/>
      </w:pPr>
    </w:p>
    <w:p w14:paraId="0EF82F83">
      <w:pPr>
        <w:spacing w:line="480" w:lineRule="exact"/>
      </w:pPr>
    </w:p>
    <w:p w14:paraId="62435B7A">
      <w:pPr>
        <w:spacing w:line="480" w:lineRule="exact"/>
      </w:pPr>
    </w:p>
    <w:p w14:paraId="4D193B93">
      <w:pPr>
        <w:spacing w:line="480" w:lineRule="exact"/>
      </w:pPr>
    </w:p>
    <w:p w14:paraId="5C0F5197">
      <w:pPr>
        <w:spacing w:line="480" w:lineRule="exact"/>
      </w:pPr>
    </w:p>
    <w:p w14:paraId="52B9E9DE">
      <w:pPr>
        <w:spacing w:line="480" w:lineRule="exact"/>
      </w:pPr>
    </w:p>
    <w:p w14:paraId="414DC596">
      <w:pPr>
        <w:spacing w:line="500" w:lineRule="exact"/>
        <w:ind w:firstLine="1120" w:firstLineChars="400"/>
        <w:jc w:val="left"/>
        <w:rPr>
          <w:rFonts w:hint="eastAsia" w:ascii="宋体" w:hAnsi="宋体" w:cs="宋体"/>
          <w:b/>
          <w:bCs/>
          <w:sz w:val="28"/>
        </w:rPr>
      </w:pPr>
      <w:bookmarkStart w:id="386" w:name="_Toc296523719"/>
      <w:bookmarkEnd w:id="386"/>
      <w:bookmarkStart w:id="387" w:name="_Toc296523520"/>
      <w:bookmarkEnd w:id="387"/>
      <w:bookmarkStart w:id="388" w:name="_Toc304463255"/>
      <w:bookmarkEnd w:id="388"/>
      <w:r>
        <w:rPr>
          <w:rFonts w:hint="eastAsia" w:ascii="宋体" w:hAnsi="宋体" w:cs="宋体"/>
          <w:sz w:val="28"/>
        </w:rPr>
        <w:t>供应商：</w:t>
      </w:r>
      <w:r>
        <w:rPr>
          <w:rFonts w:hint="eastAsia" w:ascii="宋体" w:hAnsi="宋体" w:cs="宋体"/>
          <w:sz w:val="28"/>
          <w:u w:val="single"/>
        </w:rPr>
        <w:t xml:space="preserve">                         </w:t>
      </w:r>
      <w:r>
        <w:rPr>
          <w:rFonts w:hint="eastAsia" w:ascii="宋体" w:hAnsi="宋体" w:cs="宋体"/>
          <w:kern w:val="0"/>
          <w:sz w:val="28"/>
        </w:rPr>
        <w:t>（</w:t>
      </w:r>
      <w:r>
        <w:rPr>
          <w:rFonts w:hint="eastAsia" w:ascii="宋体" w:hAnsi="宋体" w:cs="宋体"/>
          <w:sz w:val="28"/>
        </w:rPr>
        <w:t>电子章</w:t>
      </w:r>
      <w:r>
        <w:rPr>
          <w:rFonts w:hint="eastAsia" w:ascii="宋体" w:hAnsi="宋体" w:cs="宋体"/>
          <w:kern w:val="0"/>
          <w:sz w:val="28"/>
        </w:rPr>
        <w:t>）</w:t>
      </w:r>
    </w:p>
    <w:p w14:paraId="5FA1E076">
      <w:pPr>
        <w:spacing w:line="500" w:lineRule="exact"/>
        <w:ind w:firstLine="1120" w:firstLineChars="400"/>
        <w:jc w:val="left"/>
        <w:rPr>
          <w:rFonts w:hint="eastAsia" w:ascii="宋体" w:hAnsi="宋体" w:cs="宋体"/>
          <w:kern w:val="0"/>
          <w:sz w:val="28"/>
        </w:rPr>
      </w:pPr>
      <w:r>
        <w:rPr>
          <w:rFonts w:hint="eastAsia" w:ascii="宋体" w:hAnsi="宋体" w:cs="宋体"/>
          <w:sz w:val="28"/>
        </w:rPr>
        <w:t>法定代表人：</w:t>
      </w:r>
      <w:r>
        <w:rPr>
          <w:rFonts w:hint="eastAsia" w:ascii="宋体" w:hAnsi="宋体" w:cs="宋体"/>
          <w:sz w:val="28"/>
          <w:u w:val="single"/>
        </w:rPr>
        <w:t xml:space="preserve">                       </w:t>
      </w:r>
      <w:r>
        <w:rPr>
          <w:rFonts w:hint="eastAsia" w:ascii="宋体" w:hAnsi="宋体" w:cs="宋体"/>
          <w:kern w:val="0"/>
          <w:sz w:val="28"/>
        </w:rPr>
        <w:t>（</w:t>
      </w:r>
      <w:r>
        <w:rPr>
          <w:rFonts w:hint="eastAsia" w:ascii="宋体" w:hAnsi="宋体" w:cs="宋体"/>
          <w:sz w:val="28"/>
        </w:rPr>
        <w:t>电子章</w:t>
      </w:r>
      <w:r>
        <w:rPr>
          <w:rFonts w:hint="eastAsia" w:ascii="宋体" w:hAnsi="宋体" w:cs="宋体"/>
          <w:kern w:val="0"/>
          <w:sz w:val="28"/>
        </w:rPr>
        <w:t>）</w:t>
      </w:r>
    </w:p>
    <w:p w14:paraId="602CE7F5">
      <w:pPr>
        <w:spacing w:line="500" w:lineRule="exact"/>
        <w:ind w:firstLine="1120" w:firstLineChars="400"/>
        <w:rPr>
          <w:sz w:val="28"/>
        </w:rPr>
      </w:pPr>
      <w:r>
        <w:rPr>
          <w:rFonts w:hint="eastAsia"/>
          <w:sz w:val="28"/>
        </w:rPr>
        <w:t>注册地址：</w:t>
      </w:r>
      <w:r>
        <w:rPr>
          <w:rFonts w:hint="eastAsia"/>
          <w:sz w:val="28"/>
          <w:u w:val="single"/>
        </w:rPr>
        <w:t xml:space="preserve">                        </w:t>
      </w:r>
    </w:p>
    <w:p w14:paraId="35CB7AB8">
      <w:pPr>
        <w:spacing w:line="500" w:lineRule="exact"/>
        <w:ind w:firstLine="1120" w:firstLineChars="400"/>
        <w:jc w:val="left"/>
        <w:rPr>
          <w:rFonts w:hint="eastAsia" w:ascii="宋体" w:hAnsi="宋体" w:cs="宋体"/>
          <w:sz w:val="28"/>
        </w:rPr>
      </w:pPr>
      <w:r>
        <w:rPr>
          <w:rFonts w:hint="eastAsia" w:ascii="宋体" w:hAnsi="宋体" w:cs="宋体"/>
          <w:sz w:val="28"/>
        </w:rPr>
        <w:t>日    期</w:t>
      </w:r>
      <w:r>
        <w:rPr>
          <w:rFonts w:hint="eastAsia"/>
          <w:sz w:val="28"/>
        </w:rPr>
        <w:t>：</w:t>
      </w:r>
      <w:r>
        <w:rPr>
          <w:rFonts w:hint="eastAsia"/>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 xml:space="preserve">日 </w:t>
      </w:r>
    </w:p>
    <w:p w14:paraId="5A2FC114">
      <w:pPr>
        <w:jc w:val="left"/>
      </w:pPr>
    </w:p>
    <w:p w14:paraId="750F0D1B">
      <w:pPr>
        <w:spacing w:before="240" w:beforeLines="100" w:after="240" w:afterLines="100"/>
        <w:jc w:val="center"/>
        <w:outlineLvl w:val="1"/>
        <w:rPr>
          <w:rFonts w:cs="宋体"/>
          <w:b/>
          <w:bCs/>
          <w:sz w:val="28"/>
          <w:szCs w:val="28"/>
        </w:rPr>
      </w:pPr>
      <w:r>
        <w:rPr>
          <w:rFonts w:hint="eastAsia" w:cs="宋体"/>
          <w:b/>
          <w:bCs/>
          <w:sz w:val="28"/>
          <w:szCs w:val="28"/>
        </w:rPr>
        <w:br w:type="page"/>
      </w:r>
      <w:bookmarkEnd w:id="380"/>
      <w:bookmarkEnd w:id="381"/>
      <w:bookmarkEnd w:id="382"/>
      <w:bookmarkStart w:id="389" w:name="_Toc20631"/>
      <w:bookmarkStart w:id="390" w:name="_Toc1614_WPSOffice_Level1"/>
      <w:bookmarkStart w:id="391" w:name="_Toc1496_WPSOffice_Level1"/>
      <w:bookmarkStart w:id="392" w:name="_Toc41"/>
      <w:bookmarkStart w:id="393" w:name="_Toc152656730"/>
      <w:bookmarkStart w:id="394" w:name="_Toc113608210"/>
      <w:r>
        <w:rPr>
          <w:rFonts w:hint="eastAsia" w:cs="宋体"/>
          <w:b/>
          <w:bCs/>
          <w:sz w:val="28"/>
          <w:szCs w:val="28"/>
        </w:rPr>
        <w:t>一、</w:t>
      </w:r>
      <w:bookmarkEnd w:id="389"/>
      <w:bookmarkEnd w:id="390"/>
      <w:bookmarkEnd w:id="391"/>
      <w:bookmarkEnd w:id="392"/>
      <w:r>
        <w:rPr>
          <w:rFonts w:cs="宋体"/>
          <w:b/>
          <w:bCs/>
          <w:sz w:val="28"/>
          <w:szCs w:val="28"/>
        </w:rPr>
        <w:t>投标函及投标函附录</w:t>
      </w:r>
      <w:bookmarkEnd w:id="393"/>
      <w:bookmarkEnd w:id="394"/>
    </w:p>
    <w:p w14:paraId="5D76B3C7">
      <w:pPr>
        <w:spacing w:before="240" w:beforeLines="100" w:after="240" w:afterLines="100"/>
        <w:jc w:val="center"/>
        <w:outlineLvl w:val="2"/>
        <w:rPr>
          <w:rFonts w:ascii="宋体" w:cs="宋体"/>
          <w:b/>
          <w:bCs/>
          <w:sz w:val="24"/>
          <w:szCs w:val="24"/>
        </w:rPr>
      </w:pPr>
      <w:bookmarkStart w:id="395" w:name="_Toc27945"/>
      <w:bookmarkStart w:id="396" w:name="_Toc3421_WPSOffice_Level2"/>
      <w:bookmarkStart w:id="397" w:name="_Toc23071_WPSOffice_Level2"/>
      <w:r>
        <w:rPr>
          <w:rFonts w:hint="eastAsia" w:ascii="宋体" w:hAnsi="宋体" w:cs="宋体"/>
          <w:b/>
          <w:bCs/>
          <w:sz w:val="24"/>
          <w:szCs w:val="24"/>
        </w:rPr>
        <w:t>（一）投标函</w:t>
      </w:r>
      <w:bookmarkEnd w:id="395"/>
      <w:bookmarkEnd w:id="396"/>
      <w:bookmarkEnd w:id="397"/>
    </w:p>
    <w:p w14:paraId="2DDBB395">
      <w:pPr>
        <w:spacing w:line="480" w:lineRule="exact"/>
        <w:rPr>
          <w:rFonts w:ascii="宋体"/>
          <w:sz w:val="24"/>
          <w:szCs w:val="24"/>
        </w:rPr>
      </w:pPr>
      <w:r>
        <w:rPr>
          <w:rFonts w:hint="eastAsia" w:ascii="宋体" w:hAnsi="宋体" w:cs="宋体"/>
          <w:sz w:val="24"/>
          <w:szCs w:val="24"/>
        </w:rPr>
        <w:t>致</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（采购人名称）：</w:t>
      </w:r>
    </w:p>
    <w:p w14:paraId="6085303F">
      <w:pPr>
        <w:autoSpaceDE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．我方己仔细研究了</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（项目名称）</w:t>
      </w:r>
      <w:r>
        <w:rPr>
          <w:rFonts w:hint="eastAsia" w:hAnsi="宋体" w:cs="宋体"/>
          <w:sz w:val="24"/>
          <w:szCs w:val="24"/>
        </w:rPr>
        <w:t>竞争性磋商文件</w:t>
      </w:r>
      <w:r>
        <w:rPr>
          <w:rFonts w:hint="eastAsia" w:ascii="宋体" w:hAnsi="宋体" w:cs="宋体"/>
          <w:sz w:val="24"/>
          <w:szCs w:val="24"/>
        </w:rPr>
        <w:t>的全部内容，按照</w:t>
      </w:r>
      <w:r>
        <w:rPr>
          <w:rFonts w:hint="eastAsia" w:hAnsi="宋体" w:cs="宋体"/>
          <w:sz w:val="24"/>
          <w:szCs w:val="24"/>
        </w:rPr>
        <w:t>竞争性磋商文件</w:t>
      </w:r>
      <w:r>
        <w:rPr>
          <w:rFonts w:hint="eastAsia" w:ascii="宋体" w:hAnsi="宋体" w:cs="宋体"/>
          <w:sz w:val="24"/>
          <w:szCs w:val="24"/>
        </w:rPr>
        <w:t>规定我方愿按照采购文件中规定的条款和要求，提供完成采购文件规定的全部工作，投标报价为（大写）</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rPr>
        <w:t>元，人民币（RMB￥：</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rPr>
        <w:t>），供货期</w:t>
      </w:r>
      <w:r>
        <w:rPr>
          <w:rFonts w:ascii="宋体" w:hAnsi="宋体" w:cs="宋体"/>
          <w:sz w:val="24"/>
          <w:szCs w:val="24"/>
        </w:rPr>
        <w:t>为</w:t>
      </w:r>
      <w:r>
        <w:rPr>
          <w:rFonts w:hint="eastAsia" w:ascii="宋体" w:hAnsi="宋体" w:cs="宋体"/>
          <w:sz w:val="24"/>
          <w:szCs w:val="24"/>
          <w:u w:val="single"/>
        </w:rPr>
        <w:t xml:space="preserve">                     </w:t>
      </w:r>
      <w:r>
        <w:rPr>
          <w:rFonts w:hint="eastAsia" w:ascii="宋体" w:hAnsi="宋体" w:cs="宋体"/>
          <w:sz w:val="24"/>
          <w:szCs w:val="24"/>
        </w:rPr>
        <w:t>，按</w:t>
      </w:r>
      <w:r>
        <w:rPr>
          <w:rFonts w:hint="eastAsia" w:hAnsi="宋体" w:cs="宋体"/>
          <w:sz w:val="24"/>
          <w:szCs w:val="24"/>
        </w:rPr>
        <w:t>竞争性磋商文件</w:t>
      </w:r>
      <w:r>
        <w:rPr>
          <w:rFonts w:hint="eastAsia" w:ascii="宋体" w:hAnsi="宋体" w:cs="宋体"/>
          <w:sz w:val="24"/>
          <w:szCs w:val="24"/>
        </w:rPr>
        <w:t>、合同条款、技术规范的条件要求对项目实施完善的管理。</w:t>
      </w:r>
    </w:p>
    <w:p w14:paraId="7098C7E9">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．我方承诺在投标有效期内不修改、撤销响应文件。</w:t>
      </w:r>
    </w:p>
    <w:p w14:paraId="303A2C7B">
      <w:pPr>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．如果我们的响应文件被接受，我们将履行</w:t>
      </w:r>
      <w:r>
        <w:rPr>
          <w:rFonts w:hint="eastAsia" w:hAnsi="宋体" w:cs="宋体"/>
          <w:sz w:val="24"/>
          <w:szCs w:val="24"/>
        </w:rPr>
        <w:t>竞争性磋商文件</w:t>
      </w:r>
      <w:r>
        <w:rPr>
          <w:rFonts w:hint="eastAsia" w:ascii="宋体" w:hAnsi="宋体" w:cs="宋体"/>
          <w:sz w:val="24"/>
          <w:szCs w:val="24"/>
        </w:rPr>
        <w:t>中规定的各项要求。</w:t>
      </w:r>
    </w:p>
    <w:p w14:paraId="42C947D2">
      <w:pPr>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．如我方成为成交供应商：</w:t>
      </w:r>
    </w:p>
    <w:p w14:paraId="3ED514A9">
      <w:pPr>
        <w:spacing w:line="480" w:lineRule="exact"/>
        <w:ind w:firstLine="480" w:firstLineChars="200"/>
        <w:rPr>
          <w:rFonts w:ascii="宋体"/>
          <w:sz w:val="24"/>
          <w:szCs w:val="24"/>
        </w:rPr>
      </w:pPr>
      <w:r>
        <w:rPr>
          <w:rFonts w:ascii="宋体" w:hAnsi="宋体" w:cs="宋体"/>
          <w:sz w:val="24"/>
          <w:szCs w:val="24"/>
        </w:rPr>
        <w:t>(l</w:t>
      </w:r>
      <w:r>
        <w:rPr>
          <w:rFonts w:hint="eastAsia" w:ascii="宋体" w:hAnsi="宋体" w:cs="宋体"/>
          <w:sz w:val="24"/>
          <w:szCs w:val="24"/>
        </w:rPr>
        <w:t>）我方承诺在收到成交通知书后，在成交通知书规定的期限内与你方签订合同。</w:t>
      </w:r>
    </w:p>
    <w:p w14:paraId="0F867B47">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）随同本投标函递交的投标函附录属于合同文件的组成部分。</w:t>
      </w:r>
    </w:p>
    <w:p w14:paraId="35340B24">
      <w:pPr>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）我方承诺按照</w:t>
      </w:r>
      <w:r>
        <w:rPr>
          <w:rFonts w:hint="eastAsia" w:hAnsi="宋体" w:cs="宋体"/>
          <w:sz w:val="24"/>
          <w:szCs w:val="24"/>
        </w:rPr>
        <w:t>竞争性磋商文件</w:t>
      </w:r>
      <w:r>
        <w:rPr>
          <w:rFonts w:hint="eastAsia" w:ascii="宋体" w:hAnsi="宋体" w:cs="宋体"/>
          <w:sz w:val="24"/>
          <w:szCs w:val="24"/>
        </w:rPr>
        <w:t>规定向你方递交履约担保（若有）。</w:t>
      </w:r>
    </w:p>
    <w:p w14:paraId="289C2E55">
      <w:pPr>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）我方承诺在合同约定的期限内的安全事故由我方承担责任。</w:t>
      </w:r>
    </w:p>
    <w:p w14:paraId="0AAA4CF2">
      <w:pPr>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．我方在此声明，所递交的响应文件及有关资料内容完整、真实和准确，且不存在第二章“供应商须知”第</w:t>
      </w:r>
      <w:r>
        <w:rPr>
          <w:rFonts w:ascii="宋体" w:hAnsi="宋体" w:cs="宋体"/>
          <w:sz w:val="24"/>
          <w:szCs w:val="24"/>
        </w:rPr>
        <w:t>1.4.</w:t>
      </w:r>
      <w:r>
        <w:rPr>
          <w:rFonts w:hint="eastAsia" w:ascii="宋体" w:hAnsi="宋体" w:cs="宋体"/>
          <w:sz w:val="24"/>
          <w:szCs w:val="24"/>
        </w:rPr>
        <w:t>3项规定的任何一种情形。</w:t>
      </w:r>
    </w:p>
    <w:p w14:paraId="4256A021">
      <w:pPr>
        <w:spacing w:line="480" w:lineRule="exact"/>
        <w:ind w:firstLine="480" w:firstLineChars="200"/>
        <w:rPr>
          <w:rFonts w:ascii="宋体"/>
          <w:sz w:val="24"/>
          <w:szCs w:val="24"/>
        </w:rPr>
      </w:pPr>
      <w:r>
        <w:rPr>
          <w:rFonts w:ascii="宋体" w:hAnsi="宋体" w:cs="宋体"/>
          <w:sz w:val="24"/>
          <w:szCs w:val="24"/>
        </w:rPr>
        <w:t xml:space="preserve">6. </w:t>
      </w:r>
      <w:r>
        <w:rPr>
          <w:rFonts w:hint="eastAsia" w:ascii="宋体" w:hAnsi="宋体" w:cs="宋体"/>
          <w:sz w:val="24"/>
          <w:szCs w:val="24"/>
        </w:rPr>
        <w:t>我方承诺在中标后按</w:t>
      </w:r>
      <w:r>
        <w:rPr>
          <w:rFonts w:hint="eastAsia" w:hAnsi="宋体" w:cs="宋体"/>
          <w:sz w:val="24"/>
          <w:szCs w:val="24"/>
        </w:rPr>
        <w:t>竞争性磋商文件</w:t>
      </w:r>
      <w:r>
        <w:rPr>
          <w:rFonts w:hint="eastAsia" w:ascii="宋体" w:hAnsi="宋体" w:cs="宋体"/>
          <w:sz w:val="24"/>
          <w:szCs w:val="24"/>
        </w:rPr>
        <w:t>的规定缴纳招标代理费。</w:t>
      </w:r>
    </w:p>
    <w:p w14:paraId="1049DF05">
      <w:pPr>
        <w:spacing w:line="480" w:lineRule="exact"/>
        <w:ind w:firstLine="480" w:firstLineChars="200"/>
        <w:rPr>
          <w:rFonts w:ascii="宋体"/>
          <w:sz w:val="24"/>
          <w:szCs w:val="24"/>
        </w:rPr>
      </w:pPr>
      <w:r>
        <w:rPr>
          <w:rFonts w:ascii="宋体" w:hAnsi="宋体" w:cs="宋体"/>
          <w:sz w:val="24"/>
          <w:szCs w:val="24"/>
        </w:rPr>
        <w:t xml:space="preserve">7. </w:t>
      </w:r>
      <w:r>
        <w:rPr>
          <w:rFonts w:hint="eastAsia" w:ascii="宋体" w:hAnsi="宋体" w:cs="宋体"/>
          <w:sz w:val="24"/>
          <w:szCs w:val="24"/>
        </w:rPr>
        <w:t>我方愿按《</w:t>
      </w:r>
      <w:r>
        <w:rPr>
          <w:rFonts w:ascii="宋体" w:hAnsi="宋体" w:cs="宋体"/>
          <w:sz w:val="24"/>
          <w:szCs w:val="24"/>
        </w:rPr>
        <w:t>中华人民共和国民法典</w:t>
      </w:r>
      <w:r>
        <w:rPr>
          <w:rFonts w:hint="eastAsia" w:ascii="宋体" w:hAnsi="宋体" w:cs="宋体"/>
          <w:sz w:val="24"/>
          <w:szCs w:val="24"/>
        </w:rPr>
        <w:t>》履行自己的全部责任。</w:t>
      </w:r>
    </w:p>
    <w:p w14:paraId="7CFD6BCC">
      <w:pPr>
        <w:spacing w:line="480" w:lineRule="exact"/>
        <w:ind w:firstLine="480" w:firstLineChars="200"/>
        <w:rPr>
          <w:rFonts w:ascii="宋体"/>
          <w:sz w:val="24"/>
          <w:szCs w:val="24"/>
        </w:rPr>
      </w:pPr>
      <w:r>
        <w:rPr>
          <w:rFonts w:hint="eastAsia" w:ascii="宋体" w:hAnsi="宋体" w:cs="宋体"/>
          <w:sz w:val="24"/>
          <w:szCs w:val="24"/>
        </w:rPr>
        <w:t>与本投标有关的正式通讯地址：</w:t>
      </w:r>
    </w:p>
    <w:p w14:paraId="211D7F07">
      <w:pPr>
        <w:spacing w:line="480" w:lineRule="exact"/>
        <w:ind w:firstLine="480" w:firstLineChars="200"/>
        <w:rPr>
          <w:rFonts w:ascii="宋体"/>
          <w:sz w:val="24"/>
          <w:szCs w:val="24"/>
        </w:rPr>
      </w:pPr>
      <w:r>
        <w:rPr>
          <w:rFonts w:hint="eastAsia" w:ascii="宋体" w:hAnsi="宋体" w:cs="宋体"/>
          <w:sz w:val="24"/>
          <w:szCs w:val="24"/>
        </w:rPr>
        <w:t>地址：</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rPr>
        <w:tab/>
      </w:r>
      <w:r>
        <w:rPr>
          <w:rFonts w:hint="eastAsia" w:ascii="宋体" w:hAnsi="宋体" w:cs="宋体"/>
          <w:sz w:val="24"/>
          <w:szCs w:val="24"/>
        </w:rPr>
        <w:t>邮编：</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p>
    <w:p w14:paraId="039EE439">
      <w:pPr>
        <w:spacing w:line="480" w:lineRule="exact"/>
        <w:ind w:firstLine="480" w:firstLineChars="200"/>
        <w:rPr>
          <w:rFonts w:ascii="宋体"/>
          <w:sz w:val="24"/>
          <w:szCs w:val="24"/>
          <w:u w:val="single"/>
        </w:rPr>
      </w:pPr>
      <w:r>
        <w:rPr>
          <w:rFonts w:hint="eastAsia" w:ascii="宋体" w:hAnsi="宋体" w:cs="宋体"/>
          <w:sz w:val="24"/>
          <w:szCs w:val="24"/>
        </w:rPr>
        <w:t>电话：</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rPr>
        <w:tab/>
      </w:r>
      <w:r>
        <w:rPr>
          <w:rFonts w:hint="eastAsia" w:ascii="宋体" w:hAnsi="宋体" w:cs="宋体"/>
          <w:sz w:val="24"/>
          <w:szCs w:val="24"/>
        </w:rPr>
        <w:t>传真：</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p>
    <w:p w14:paraId="01A6066C">
      <w:pPr>
        <w:wordWrap w:val="0"/>
        <w:spacing w:line="480" w:lineRule="exact"/>
        <w:ind w:firstLine="480" w:firstLineChars="200"/>
        <w:rPr>
          <w:rFonts w:ascii="宋体"/>
          <w:b/>
          <w:bCs/>
          <w:sz w:val="24"/>
          <w:szCs w:val="24"/>
        </w:rPr>
      </w:pPr>
      <w:r>
        <w:rPr>
          <w:rFonts w:hint="eastAsia" w:ascii="宋体" w:hAnsi="宋体" w:cs="宋体"/>
          <w:sz w:val="24"/>
          <w:szCs w:val="24"/>
        </w:rPr>
        <w:t>供应商：</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kern w:val="0"/>
          <w:sz w:val="24"/>
          <w:szCs w:val="24"/>
        </w:rPr>
        <w:t>（</w:t>
      </w:r>
      <w:r>
        <w:rPr>
          <w:rFonts w:hint="eastAsia" w:ascii="宋体" w:hAnsi="宋体" w:cs="宋体"/>
          <w:sz w:val="24"/>
          <w:szCs w:val="24"/>
        </w:rPr>
        <w:t>电子章</w:t>
      </w:r>
      <w:r>
        <w:rPr>
          <w:rFonts w:hint="eastAsia" w:ascii="宋体" w:hAnsi="宋体" w:cs="宋体"/>
          <w:kern w:val="0"/>
          <w:sz w:val="24"/>
          <w:szCs w:val="24"/>
        </w:rPr>
        <w:t>）</w:t>
      </w:r>
    </w:p>
    <w:p w14:paraId="59511B0D">
      <w:pPr>
        <w:spacing w:line="480" w:lineRule="exact"/>
        <w:ind w:firstLine="480" w:firstLineChars="200"/>
        <w:rPr>
          <w:rFonts w:ascii="宋体"/>
          <w:sz w:val="24"/>
          <w:szCs w:val="24"/>
        </w:rPr>
      </w:pPr>
      <w:r>
        <w:rPr>
          <w:rFonts w:hint="eastAsia" w:ascii="宋体" w:hAnsi="宋体" w:cs="宋体"/>
          <w:sz w:val="24"/>
          <w:szCs w:val="24"/>
        </w:rPr>
        <w:t>法定代表人或授权委托人：</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kern w:val="0"/>
          <w:sz w:val="24"/>
          <w:szCs w:val="24"/>
        </w:rPr>
        <w:t>（电子签章）</w:t>
      </w:r>
    </w:p>
    <w:p w14:paraId="178795F2">
      <w:pPr>
        <w:spacing w:line="480" w:lineRule="exact"/>
        <w:ind w:firstLine="480" w:firstLineChars="200"/>
        <w:rPr>
          <w:rFonts w:ascii="宋体"/>
          <w:sz w:val="24"/>
          <w:szCs w:val="24"/>
        </w:rPr>
      </w:pPr>
      <w:r>
        <w:rPr>
          <w:rFonts w:hint="eastAsia" w:ascii="宋体" w:hAnsi="宋体" w:cs="宋体"/>
          <w:sz w:val="24"/>
          <w:szCs w:val="24"/>
        </w:rPr>
        <w:t>日期</w:t>
      </w:r>
      <w:r>
        <w:rPr>
          <w:rFonts w:ascii="宋体" w:hAnsi="宋体" w:cs="宋体"/>
          <w:sz w:val="24"/>
          <w:szCs w:val="24"/>
        </w:rPr>
        <w:t>:</w:t>
      </w:r>
      <w:r>
        <w:rPr>
          <w:rFonts w:ascii="宋体"/>
          <w:sz w:val="24"/>
          <w:szCs w:val="24"/>
          <w:u w:val="single"/>
        </w:rPr>
        <w:tab/>
      </w:r>
      <w:r>
        <w:rPr>
          <w:rFonts w:ascii="宋体"/>
          <w:sz w:val="24"/>
          <w:szCs w:val="24"/>
          <w:u w:val="single"/>
        </w:rPr>
        <w:tab/>
      </w:r>
      <w:r>
        <w:rPr>
          <w:rFonts w:hint="eastAsia" w:ascii="宋体" w:hAnsi="宋体" w:cs="宋体"/>
          <w:sz w:val="24"/>
          <w:szCs w:val="24"/>
        </w:rPr>
        <w:t>年</w:t>
      </w:r>
      <w:r>
        <w:rPr>
          <w:rFonts w:ascii="宋体"/>
          <w:sz w:val="24"/>
          <w:szCs w:val="24"/>
          <w:u w:val="single"/>
        </w:rPr>
        <w:tab/>
      </w:r>
      <w:r>
        <w:rPr>
          <w:rFonts w:ascii="宋体"/>
          <w:sz w:val="24"/>
          <w:szCs w:val="24"/>
          <w:u w:val="single"/>
        </w:rPr>
        <w:tab/>
      </w:r>
      <w:r>
        <w:rPr>
          <w:rFonts w:hint="eastAsia" w:ascii="宋体" w:hAnsi="宋体" w:cs="宋体"/>
          <w:sz w:val="24"/>
          <w:szCs w:val="24"/>
        </w:rPr>
        <w:t>月</w:t>
      </w:r>
      <w:r>
        <w:rPr>
          <w:rFonts w:ascii="宋体"/>
          <w:sz w:val="24"/>
          <w:szCs w:val="24"/>
          <w:u w:val="single"/>
        </w:rPr>
        <w:tab/>
      </w:r>
      <w:r>
        <w:rPr>
          <w:rFonts w:ascii="宋体"/>
          <w:sz w:val="24"/>
          <w:szCs w:val="24"/>
          <w:u w:val="single"/>
        </w:rPr>
        <w:tab/>
      </w:r>
      <w:r>
        <w:rPr>
          <w:rFonts w:hint="eastAsia" w:ascii="宋体" w:hAnsi="宋体" w:cs="宋体"/>
          <w:sz w:val="24"/>
          <w:szCs w:val="24"/>
        </w:rPr>
        <w:t>日</w:t>
      </w:r>
    </w:p>
    <w:p w14:paraId="47902A26">
      <w:pPr>
        <w:widowControl/>
        <w:jc w:val="left"/>
        <w:rPr>
          <w:rFonts w:ascii="宋体"/>
          <w:sz w:val="24"/>
          <w:szCs w:val="24"/>
        </w:rPr>
      </w:pPr>
      <w:bookmarkStart w:id="398" w:name="_Toc1375_WPSOffice_Level2"/>
      <w:bookmarkStart w:id="399" w:name="_Toc14088_WPSOffice_Level2"/>
      <w:bookmarkStart w:id="400" w:name="_Toc30639"/>
      <w:r>
        <w:rPr>
          <w:rFonts w:ascii="宋体"/>
          <w:sz w:val="24"/>
          <w:szCs w:val="24"/>
        </w:rPr>
        <w:br w:type="page"/>
      </w:r>
    </w:p>
    <w:p w14:paraId="00ADC75B">
      <w:pPr>
        <w:spacing w:before="240" w:beforeLines="100" w:after="240" w:afterLines="100"/>
        <w:jc w:val="center"/>
        <w:outlineLvl w:val="2"/>
        <w:rPr>
          <w:rFonts w:ascii="宋体" w:cs="宋体"/>
          <w:b/>
          <w:bCs/>
          <w:sz w:val="24"/>
          <w:szCs w:val="24"/>
        </w:rPr>
      </w:pPr>
      <w:r>
        <w:rPr>
          <w:rFonts w:hint="eastAsia" w:ascii="宋体" w:hAnsi="宋体" w:cs="宋体"/>
          <w:b/>
          <w:bCs/>
          <w:sz w:val="24"/>
          <w:szCs w:val="24"/>
        </w:rPr>
        <w:t>（二）投标函附录</w:t>
      </w:r>
      <w:bookmarkEnd w:id="398"/>
      <w:bookmarkEnd w:id="399"/>
      <w:bookmarkEnd w:id="400"/>
    </w:p>
    <w:tbl>
      <w:tblPr>
        <w:tblStyle w:val="28"/>
        <w:tblW w:w="9344" w:type="dxa"/>
        <w:tblInd w:w="2" w:type="dxa"/>
        <w:tblLayout w:type="fixed"/>
        <w:tblCellMar>
          <w:top w:w="0" w:type="dxa"/>
          <w:left w:w="108" w:type="dxa"/>
          <w:bottom w:w="0" w:type="dxa"/>
          <w:right w:w="108" w:type="dxa"/>
        </w:tblCellMar>
      </w:tblPr>
      <w:tblGrid>
        <w:gridCol w:w="3182"/>
        <w:gridCol w:w="6162"/>
      </w:tblGrid>
      <w:tr w14:paraId="482FE24B">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25C58F7B">
            <w:pPr>
              <w:spacing w:line="480" w:lineRule="exact"/>
              <w:jc w:val="center"/>
              <w:rPr>
                <w:rFonts w:ascii="宋体" w:cs="宋体"/>
                <w:sz w:val="24"/>
                <w:szCs w:val="24"/>
              </w:rPr>
            </w:pPr>
            <w:r>
              <w:rPr>
                <w:rFonts w:hint="eastAsia" w:ascii="宋体" w:hAnsi="宋体" w:cs="宋体"/>
                <w:sz w:val="24"/>
                <w:szCs w:val="24"/>
              </w:rPr>
              <w:t>项目名称</w:t>
            </w:r>
          </w:p>
        </w:tc>
        <w:tc>
          <w:tcPr>
            <w:tcW w:w="6162" w:type="dxa"/>
            <w:tcBorders>
              <w:top w:val="single" w:color="auto" w:sz="4" w:space="0"/>
              <w:left w:val="nil"/>
              <w:bottom w:val="single" w:color="auto" w:sz="4" w:space="0"/>
              <w:right w:val="single" w:color="auto" w:sz="4" w:space="0"/>
            </w:tcBorders>
            <w:vAlign w:val="center"/>
          </w:tcPr>
          <w:p w14:paraId="271E159D">
            <w:pPr>
              <w:spacing w:line="480" w:lineRule="exact"/>
              <w:jc w:val="center"/>
              <w:rPr>
                <w:rFonts w:ascii="宋体" w:cs="宋体"/>
                <w:sz w:val="24"/>
                <w:szCs w:val="24"/>
              </w:rPr>
            </w:pPr>
          </w:p>
        </w:tc>
      </w:tr>
      <w:tr w14:paraId="1E0FA772">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7009268E">
            <w:pPr>
              <w:spacing w:line="480" w:lineRule="exact"/>
              <w:jc w:val="center"/>
              <w:rPr>
                <w:rFonts w:ascii="宋体" w:cs="宋体"/>
                <w:sz w:val="24"/>
                <w:szCs w:val="24"/>
              </w:rPr>
            </w:pPr>
            <w:r>
              <w:rPr>
                <w:rFonts w:hint="eastAsia" w:ascii="宋体" w:hAnsi="宋体" w:cs="宋体"/>
                <w:sz w:val="24"/>
                <w:szCs w:val="24"/>
              </w:rPr>
              <w:t>供应商名称</w:t>
            </w:r>
          </w:p>
        </w:tc>
        <w:tc>
          <w:tcPr>
            <w:tcW w:w="6162" w:type="dxa"/>
            <w:tcBorders>
              <w:top w:val="single" w:color="auto" w:sz="4" w:space="0"/>
              <w:left w:val="nil"/>
              <w:bottom w:val="single" w:color="auto" w:sz="4" w:space="0"/>
              <w:right w:val="single" w:color="auto" w:sz="4" w:space="0"/>
            </w:tcBorders>
            <w:vAlign w:val="center"/>
          </w:tcPr>
          <w:p w14:paraId="2A190CE0">
            <w:pPr>
              <w:spacing w:line="480" w:lineRule="exact"/>
              <w:jc w:val="center"/>
              <w:rPr>
                <w:rFonts w:ascii="宋体" w:cs="宋体"/>
                <w:sz w:val="24"/>
                <w:szCs w:val="24"/>
              </w:rPr>
            </w:pPr>
          </w:p>
        </w:tc>
      </w:tr>
      <w:tr w14:paraId="34585F26">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5997917C">
            <w:pPr>
              <w:spacing w:line="500" w:lineRule="exact"/>
              <w:jc w:val="center"/>
              <w:rPr>
                <w:rFonts w:ascii="宋体" w:cs="宋体"/>
                <w:sz w:val="24"/>
                <w:szCs w:val="24"/>
              </w:rPr>
            </w:pPr>
            <w:r>
              <w:rPr>
                <w:rFonts w:hint="eastAsia"/>
                <w:sz w:val="24"/>
                <w:szCs w:val="24"/>
              </w:rPr>
              <w:t>投标报价</w:t>
            </w:r>
          </w:p>
        </w:tc>
        <w:tc>
          <w:tcPr>
            <w:tcW w:w="6162" w:type="dxa"/>
            <w:tcBorders>
              <w:top w:val="single" w:color="auto" w:sz="4" w:space="0"/>
              <w:left w:val="nil"/>
              <w:bottom w:val="single" w:color="auto" w:sz="4" w:space="0"/>
              <w:right w:val="single" w:color="auto" w:sz="4" w:space="0"/>
            </w:tcBorders>
            <w:vAlign w:val="center"/>
          </w:tcPr>
          <w:p w14:paraId="26B5306B">
            <w:pPr>
              <w:spacing w:line="500" w:lineRule="exact"/>
              <w:jc w:val="center"/>
              <w:rPr>
                <w:rFonts w:hint="eastAsia" w:ascii="宋体" w:hAnsi="宋体" w:cs="宋体"/>
                <w:sz w:val="24"/>
                <w:szCs w:val="24"/>
              </w:rPr>
            </w:pPr>
            <w:r>
              <w:rPr>
                <w:rFonts w:hint="eastAsia" w:ascii="宋体" w:hAnsi="宋体" w:cs="宋体"/>
                <w:sz w:val="24"/>
                <w:szCs w:val="24"/>
                <w:u w:val="single"/>
              </w:rPr>
              <w:t xml:space="preserve">                   </w:t>
            </w:r>
            <w:r>
              <w:rPr>
                <w:rFonts w:ascii="宋体" w:hAnsi="宋体" w:cs="宋体"/>
                <w:sz w:val="24"/>
                <w:szCs w:val="24"/>
              </w:rPr>
              <w:t xml:space="preserve">（大写） </w:t>
            </w:r>
          </w:p>
          <w:p w14:paraId="100F41B4">
            <w:pPr>
              <w:spacing w:line="500" w:lineRule="exact"/>
              <w:jc w:val="center"/>
              <w:rPr>
                <w:rFonts w:ascii="宋体" w:cs="宋体"/>
                <w:sz w:val="24"/>
                <w:szCs w:val="24"/>
                <w:u w:val="single"/>
              </w:rPr>
            </w:pPr>
            <w:r>
              <w:rPr>
                <w:rFonts w:hint="eastAsia" w:ascii="宋体" w:hAnsi="宋体" w:cs="宋体"/>
                <w:sz w:val="24"/>
                <w:szCs w:val="24"/>
                <w:u w:val="single"/>
              </w:rPr>
              <w:t xml:space="preserve">                   </w:t>
            </w:r>
            <w:r>
              <w:rPr>
                <w:rFonts w:ascii="宋体" w:hAnsi="宋体" w:cs="宋体"/>
                <w:sz w:val="24"/>
                <w:szCs w:val="24"/>
              </w:rPr>
              <w:t>（小写）</w:t>
            </w:r>
          </w:p>
        </w:tc>
      </w:tr>
      <w:tr w14:paraId="483F1686">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3D46F698">
            <w:pPr>
              <w:spacing w:line="480" w:lineRule="exact"/>
              <w:jc w:val="center"/>
              <w:rPr>
                <w:rFonts w:ascii="宋体" w:cs="宋体"/>
                <w:sz w:val="24"/>
                <w:szCs w:val="24"/>
              </w:rPr>
            </w:pPr>
            <w:r>
              <w:rPr>
                <w:rFonts w:hint="eastAsia" w:ascii="宋体" w:hAnsi="宋体" w:cs="宋体"/>
                <w:sz w:val="24"/>
                <w:szCs w:val="24"/>
              </w:rPr>
              <w:t>投标范围</w:t>
            </w:r>
          </w:p>
        </w:tc>
        <w:tc>
          <w:tcPr>
            <w:tcW w:w="6162" w:type="dxa"/>
            <w:tcBorders>
              <w:top w:val="single" w:color="auto" w:sz="4" w:space="0"/>
              <w:left w:val="nil"/>
              <w:bottom w:val="single" w:color="auto" w:sz="4" w:space="0"/>
              <w:right w:val="single" w:color="auto" w:sz="4" w:space="0"/>
            </w:tcBorders>
            <w:vAlign w:val="center"/>
          </w:tcPr>
          <w:p w14:paraId="666EEB20">
            <w:pPr>
              <w:spacing w:line="480" w:lineRule="exact"/>
              <w:jc w:val="center"/>
              <w:rPr>
                <w:rFonts w:ascii="宋体" w:cs="宋体"/>
                <w:sz w:val="24"/>
                <w:szCs w:val="24"/>
              </w:rPr>
            </w:pPr>
          </w:p>
        </w:tc>
      </w:tr>
      <w:tr w14:paraId="57D1CACA">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374FDBBC">
            <w:pPr>
              <w:spacing w:line="440" w:lineRule="exact"/>
              <w:jc w:val="center"/>
              <w:rPr>
                <w:rFonts w:ascii="宋体" w:cs="宋体"/>
                <w:sz w:val="24"/>
                <w:szCs w:val="24"/>
              </w:rPr>
            </w:pPr>
            <w:r>
              <w:rPr>
                <w:rFonts w:hint="eastAsia" w:ascii="宋体" w:hAnsi="宋体" w:cs="宋体"/>
                <w:sz w:val="24"/>
                <w:szCs w:val="24"/>
              </w:rPr>
              <w:t>供货期</w:t>
            </w:r>
          </w:p>
        </w:tc>
        <w:tc>
          <w:tcPr>
            <w:tcW w:w="6162" w:type="dxa"/>
            <w:tcBorders>
              <w:top w:val="single" w:color="auto" w:sz="4" w:space="0"/>
              <w:left w:val="nil"/>
              <w:bottom w:val="single" w:color="auto" w:sz="4" w:space="0"/>
              <w:right w:val="single" w:color="auto" w:sz="4" w:space="0"/>
            </w:tcBorders>
            <w:vAlign w:val="center"/>
          </w:tcPr>
          <w:p w14:paraId="0DAD98F6">
            <w:pPr>
              <w:spacing w:line="360" w:lineRule="auto"/>
              <w:jc w:val="center"/>
              <w:rPr>
                <w:rFonts w:ascii="宋体" w:cs="宋体"/>
                <w:sz w:val="24"/>
                <w:szCs w:val="24"/>
              </w:rPr>
            </w:pPr>
          </w:p>
        </w:tc>
      </w:tr>
      <w:tr w14:paraId="71F70D17">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265D94C8">
            <w:pPr>
              <w:spacing w:line="440" w:lineRule="exact"/>
              <w:jc w:val="center"/>
              <w:rPr>
                <w:rFonts w:hint="eastAsia" w:ascii="宋体" w:hAnsi="宋体" w:cs="宋体"/>
                <w:sz w:val="24"/>
                <w:szCs w:val="24"/>
              </w:rPr>
            </w:pPr>
            <w:r>
              <w:rPr>
                <w:rFonts w:hint="eastAsia" w:ascii="宋体" w:hAnsi="宋体" w:cs="宋体"/>
                <w:sz w:val="24"/>
                <w:szCs w:val="24"/>
              </w:rPr>
              <w:t>保修期</w:t>
            </w:r>
          </w:p>
        </w:tc>
        <w:tc>
          <w:tcPr>
            <w:tcW w:w="6162" w:type="dxa"/>
            <w:tcBorders>
              <w:top w:val="single" w:color="auto" w:sz="4" w:space="0"/>
              <w:left w:val="nil"/>
              <w:bottom w:val="single" w:color="auto" w:sz="4" w:space="0"/>
              <w:right w:val="single" w:color="auto" w:sz="4" w:space="0"/>
            </w:tcBorders>
            <w:vAlign w:val="center"/>
          </w:tcPr>
          <w:p w14:paraId="6F21779F">
            <w:pPr>
              <w:spacing w:line="360" w:lineRule="auto"/>
              <w:jc w:val="center"/>
              <w:rPr>
                <w:rFonts w:ascii="宋体" w:cs="宋体"/>
                <w:sz w:val="24"/>
                <w:szCs w:val="24"/>
              </w:rPr>
            </w:pPr>
          </w:p>
        </w:tc>
      </w:tr>
      <w:tr w14:paraId="07625D03">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2DBE0EC9">
            <w:pPr>
              <w:spacing w:line="440" w:lineRule="exact"/>
              <w:jc w:val="center"/>
              <w:rPr>
                <w:rFonts w:ascii="宋体" w:cs="宋体"/>
                <w:sz w:val="24"/>
                <w:szCs w:val="24"/>
              </w:rPr>
            </w:pPr>
            <w:r>
              <w:rPr>
                <w:rFonts w:hint="eastAsia" w:ascii="宋体" w:hAnsi="宋体" w:cs="宋体"/>
                <w:sz w:val="24"/>
                <w:szCs w:val="24"/>
              </w:rPr>
              <w:t>质量要求</w:t>
            </w:r>
          </w:p>
        </w:tc>
        <w:tc>
          <w:tcPr>
            <w:tcW w:w="6162" w:type="dxa"/>
            <w:tcBorders>
              <w:top w:val="single" w:color="auto" w:sz="4" w:space="0"/>
              <w:left w:val="nil"/>
              <w:bottom w:val="single" w:color="auto" w:sz="4" w:space="0"/>
              <w:right w:val="single" w:color="auto" w:sz="4" w:space="0"/>
            </w:tcBorders>
            <w:vAlign w:val="center"/>
          </w:tcPr>
          <w:p w14:paraId="6F4A105B">
            <w:pPr>
              <w:spacing w:line="360" w:lineRule="auto"/>
              <w:jc w:val="center"/>
              <w:rPr>
                <w:rFonts w:ascii="宋体" w:cs="宋体"/>
                <w:sz w:val="24"/>
                <w:szCs w:val="24"/>
              </w:rPr>
            </w:pPr>
          </w:p>
        </w:tc>
      </w:tr>
      <w:tr w14:paraId="12629B79">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6396E992">
            <w:pPr>
              <w:spacing w:line="480" w:lineRule="exact"/>
              <w:jc w:val="center"/>
              <w:rPr>
                <w:rFonts w:ascii="宋体" w:cs="宋体"/>
                <w:sz w:val="24"/>
                <w:szCs w:val="24"/>
              </w:rPr>
            </w:pPr>
            <w:r>
              <w:rPr>
                <w:rFonts w:hint="eastAsia" w:ascii="宋体" w:hAnsi="宋体" w:cs="宋体"/>
                <w:sz w:val="24"/>
                <w:szCs w:val="24"/>
              </w:rPr>
              <w:t>投标有效期</w:t>
            </w:r>
          </w:p>
        </w:tc>
        <w:tc>
          <w:tcPr>
            <w:tcW w:w="6162" w:type="dxa"/>
            <w:tcBorders>
              <w:top w:val="single" w:color="auto" w:sz="4" w:space="0"/>
              <w:left w:val="nil"/>
              <w:bottom w:val="single" w:color="auto" w:sz="4" w:space="0"/>
              <w:right w:val="single" w:color="auto" w:sz="4" w:space="0"/>
            </w:tcBorders>
            <w:vAlign w:val="center"/>
          </w:tcPr>
          <w:p w14:paraId="2F8B69B2">
            <w:pPr>
              <w:spacing w:line="480" w:lineRule="exact"/>
              <w:jc w:val="center"/>
              <w:rPr>
                <w:rFonts w:ascii="宋体" w:cs="宋体"/>
                <w:sz w:val="24"/>
                <w:szCs w:val="24"/>
              </w:rPr>
            </w:pP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日历天（自响应文件递交截止时间起）</w:t>
            </w:r>
          </w:p>
        </w:tc>
      </w:tr>
      <w:tr w14:paraId="6D9F51CD">
        <w:tblPrEx>
          <w:tblCellMar>
            <w:top w:w="0" w:type="dxa"/>
            <w:left w:w="108" w:type="dxa"/>
            <w:bottom w:w="0" w:type="dxa"/>
            <w:right w:w="108" w:type="dxa"/>
          </w:tblCellMar>
        </w:tblPrEx>
        <w:trPr>
          <w:trHeight w:val="850" w:hRule="atLeast"/>
        </w:trPr>
        <w:tc>
          <w:tcPr>
            <w:tcW w:w="3182" w:type="dxa"/>
            <w:tcBorders>
              <w:top w:val="single" w:color="auto" w:sz="4" w:space="0"/>
              <w:left w:val="single" w:color="auto" w:sz="4" w:space="0"/>
              <w:bottom w:val="single" w:color="auto" w:sz="4" w:space="0"/>
              <w:right w:val="single" w:color="auto" w:sz="4" w:space="0"/>
            </w:tcBorders>
            <w:vAlign w:val="center"/>
          </w:tcPr>
          <w:p w14:paraId="6BF32135">
            <w:pPr>
              <w:spacing w:line="480" w:lineRule="exact"/>
              <w:jc w:val="center"/>
              <w:rPr>
                <w:rFonts w:hint="eastAsia" w:ascii="宋体" w:hAnsi="宋体" w:cs="宋体"/>
                <w:sz w:val="24"/>
                <w:szCs w:val="24"/>
              </w:rPr>
            </w:pPr>
            <w:r>
              <w:rPr>
                <w:rFonts w:hint="eastAsia" w:ascii="宋体" w:hAnsi="宋体" w:cs="宋体"/>
                <w:sz w:val="24"/>
                <w:szCs w:val="24"/>
              </w:rPr>
              <w:t>备注</w:t>
            </w:r>
          </w:p>
        </w:tc>
        <w:tc>
          <w:tcPr>
            <w:tcW w:w="6162" w:type="dxa"/>
            <w:tcBorders>
              <w:top w:val="single" w:color="auto" w:sz="4" w:space="0"/>
              <w:left w:val="nil"/>
              <w:bottom w:val="single" w:color="auto" w:sz="4" w:space="0"/>
              <w:right w:val="single" w:color="auto" w:sz="4" w:space="0"/>
            </w:tcBorders>
            <w:vAlign w:val="center"/>
          </w:tcPr>
          <w:p w14:paraId="694DED8E">
            <w:pPr>
              <w:spacing w:line="480" w:lineRule="exact"/>
              <w:jc w:val="center"/>
              <w:rPr>
                <w:rFonts w:ascii="宋体"/>
                <w:sz w:val="24"/>
                <w:szCs w:val="24"/>
                <w:u w:val="single"/>
              </w:rPr>
            </w:pPr>
          </w:p>
        </w:tc>
      </w:tr>
    </w:tbl>
    <w:p w14:paraId="141210EC">
      <w:pPr>
        <w:spacing w:line="480" w:lineRule="exact"/>
        <w:rPr>
          <w:rFonts w:ascii="宋体"/>
        </w:rPr>
      </w:pPr>
    </w:p>
    <w:p w14:paraId="141FF37F">
      <w:pPr>
        <w:wordWrap w:val="0"/>
        <w:spacing w:line="480" w:lineRule="exact"/>
        <w:rPr>
          <w:rFonts w:hint="eastAsia" w:ascii="宋体" w:hAnsi="宋体" w:cs="宋体"/>
          <w:b/>
          <w:bCs/>
          <w:sz w:val="24"/>
        </w:rPr>
      </w:pPr>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kern w:val="0"/>
          <w:sz w:val="24"/>
        </w:rPr>
        <w:t>（</w:t>
      </w:r>
      <w:r>
        <w:rPr>
          <w:rFonts w:hint="eastAsia" w:ascii="宋体" w:hAnsi="宋体" w:cs="宋体"/>
          <w:sz w:val="24"/>
        </w:rPr>
        <w:t>电子章</w:t>
      </w:r>
      <w:r>
        <w:rPr>
          <w:rFonts w:hint="eastAsia" w:ascii="宋体" w:hAnsi="宋体" w:cs="宋体"/>
          <w:kern w:val="0"/>
          <w:sz w:val="24"/>
        </w:rPr>
        <w:t>）</w:t>
      </w:r>
    </w:p>
    <w:p w14:paraId="28CD06BC">
      <w:pPr>
        <w:spacing w:line="480" w:lineRule="exact"/>
        <w:rPr>
          <w:rFonts w:hint="eastAsia" w:ascii="宋体" w:hAnsi="宋体" w:cs="宋体"/>
          <w:kern w:val="0"/>
          <w:sz w:val="24"/>
        </w:rPr>
      </w:pPr>
      <w:r>
        <w:rPr>
          <w:rFonts w:hint="eastAsia" w:ascii="宋体" w:hAnsi="宋体" w:cs="宋体"/>
          <w:sz w:val="24"/>
        </w:rPr>
        <w:t>法定代表人：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kern w:val="0"/>
          <w:sz w:val="24"/>
        </w:rPr>
        <w:t>（</w:t>
      </w:r>
      <w:r>
        <w:rPr>
          <w:rFonts w:hint="eastAsia" w:ascii="宋体" w:hAnsi="宋体" w:cs="宋体"/>
          <w:kern w:val="0"/>
          <w:sz w:val="24"/>
          <w:szCs w:val="24"/>
        </w:rPr>
        <w:t>电子签章</w:t>
      </w:r>
      <w:r>
        <w:rPr>
          <w:rFonts w:hint="eastAsia" w:ascii="宋体" w:hAnsi="宋体" w:cs="宋体"/>
          <w:kern w:val="0"/>
          <w:sz w:val="24"/>
        </w:rPr>
        <w:t>）</w:t>
      </w:r>
    </w:p>
    <w:p w14:paraId="5C882B98">
      <w:pPr>
        <w:spacing w:line="480" w:lineRule="exac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日 </w:t>
      </w:r>
    </w:p>
    <w:p w14:paraId="6EFD4321">
      <w:pPr>
        <w:spacing w:before="240" w:beforeLines="100" w:after="240" w:afterLines="100"/>
        <w:jc w:val="center"/>
        <w:outlineLvl w:val="1"/>
        <w:rPr>
          <w:b/>
          <w:bCs/>
          <w:sz w:val="28"/>
          <w:szCs w:val="28"/>
        </w:rPr>
      </w:pPr>
      <w:r>
        <w:br w:type="page"/>
      </w:r>
      <w:bookmarkStart w:id="401" w:name="_Toc152656731"/>
      <w:bookmarkStart w:id="402" w:name="_Toc113608211"/>
      <w:bookmarkStart w:id="403" w:name="_Toc13866_WPSOffice_Level1"/>
      <w:r>
        <w:rPr>
          <w:rFonts w:hint="eastAsia" w:cs="宋体"/>
          <w:b/>
          <w:bCs/>
          <w:sz w:val="28"/>
          <w:szCs w:val="28"/>
        </w:rPr>
        <w:t>二、法定代表人身份证明及授权委托书</w:t>
      </w:r>
      <w:bookmarkEnd w:id="401"/>
      <w:bookmarkEnd w:id="402"/>
      <w:bookmarkEnd w:id="403"/>
    </w:p>
    <w:p w14:paraId="05052BD3">
      <w:pPr>
        <w:spacing w:before="240" w:beforeLines="100" w:after="240" w:afterLines="100"/>
        <w:jc w:val="center"/>
        <w:outlineLvl w:val="2"/>
        <w:rPr>
          <w:rFonts w:ascii="宋体" w:cs="宋体"/>
          <w:b/>
          <w:bCs/>
          <w:sz w:val="24"/>
          <w:szCs w:val="24"/>
        </w:rPr>
      </w:pPr>
      <w:bookmarkStart w:id="404" w:name="_Toc10236_WPSOffice_Level2"/>
      <w:r>
        <w:rPr>
          <w:rFonts w:hint="eastAsia" w:ascii="宋体" w:hAnsi="宋体" w:cs="宋体"/>
          <w:b/>
          <w:bCs/>
          <w:sz w:val="24"/>
          <w:szCs w:val="24"/>
        </w:rPr>
        <w:t>（一）法定代表人身份证明</w:t>
      </w:r>
      <w:bookmarkEnd w:id="404"/>
    </w:p>
    <w:p w14:paraId="326EE13F">
      <w:pPr>
        <w:spacing w:line="480" w:lineRule="exact"/>
        <w:ind w:firstLine="480" w:firstLineChars="200"/>
        <w:rPr>
          <w:rFonts w:hint="eastAsia" w:ascii="宋体" w:hAnsi="宋体"/>
          <w:sz w:val="24"/>
          <w:u w:val="single"/>
        </w:rPr>
      </w:pPr>
      <w:r>
        <w:rPr>
          <w:rFonts w:hint="eastAsia" w:ascii="宋体" w:hAnsi="宋体"/>
          <w:sz w:val="24"/>
        </w:rPr>
        <w:t>供应商名称：</w:t>
      </w:r>
      <w:r>
        <w:rPr>
          <w:rFonts w:hint="eastAsia" w:ascii="宋体" w:hAnsi="宋体" w:cs="宋体"/>
          <w:sz w:val="24"/>
          <w:u w:val="single"/>
        </w:rPr>
        <w:tab/>
      </w:r>
      <w:r>
        <w:rPr>
          <w:rFonts w:hint="eastAsia" w:ascii="宋体" w:hAnsi="宋体" w:cs="宋体"/>
          <w:sz w:val="24"/>
          <w:u w:val="single"/>
        </w:rPr>
        <w:tab/>
      </w:r>
    </w:p>
    <w:p w14:paraId="62C3EC13">
      <w:pPr>
        <w:spacing w:line="480" w:lineRule="exact"/>
        <w:ind w:firstLine="480" w:firstLineChars="200"/>
        <w:rPr>
          <w:rFonts w:hint="eastAsia" w:ascii="宋体" w:hAnsi="宋体"/>
          <w:sz w:val="24"/>
        </w:rPr>
      </w:pPr>
      <w:r>
        <w:rPr>
          <w:rFonts w:hint="eastAsia" w:ascii="宋体" w:hAnsi="宋体"/>
          <w:sz w:val="24"/>
        </w:rPr>
        <w:t>单位类型：</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1448BF7">
      <w:pPr>
        <w:spacing w:line="480" w:lineRule="exact"/>
        <w:ind w:firstLine="480" w:firstLineChars="200"/>
        <w:rPr>
          <w:rFonts w:hint="eastAsia" w:ascii="宋体" w:hAnsi="宋体"/>
          <w:sz w:val="24"/>
        </w:rPr>
      </w:pPr>
      <w:r>
        <w:rPr>
          <w:rFonts w:hint="eastAsia" w:ascii="宋体" w:hAnsi="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0DBA4E43">
      <w:pPr>
        <w:spacing w:line="480" w:lineRule="exact"/>
        <w:ind w:firstLine="480" w:firstLineChars="200"/>
        <w:rPr>
          <w:rFonts w:hint="eastAsia" w:ascii="宋体" w:hAnsi="宋体"/>
          <w:sz w:val="24"/>
        </w:rPr>
      </w:pPr>
      <w:r>
        <w:rPr>
          <w:rFonts w:hint="eastAsia" w:ascii="宋体" w:hAnsi="宋体"/>
          <w:sz w:val="24"/>
        </w:rPr>
        <w:t>成立时间：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p w14:paraId="3F59176A">
      <w:pPr>
        <w:spacing w:line="480" w:lineRule="exact"/>
        <w:ind w:firstLine="480" w:firstLineChars="200"/>
        <w:rPr>
          <w:rFonts w:hint="eastAsia" w:ascii="宋体" w:hAnsi="宋体"/>
          <w:sz w:val="24"/>
        </w:rPr>
      </w:pPr>
      <w:r>
        <w:rPr>
          <w:rFonts w:hint="eastAsia" w:ascii="宋体" w:hAnsi="宋体"/>
          <w:sz w:val="24"/>
        </w:rPr>
        <w:t>经营期限：</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7E40464">
      <w:pPr>
        <w:spacing w:line="480" w:lineRule="exact"/>
        <w:ind w:firstLine="480" w:firstLineChars="200"/>
        <w:rPr>
          <w:rFonts w:hint="eastAsia" w:ascii="宋体" w:hAnsi="宋体"/>
          <w:sz w:val="24"/>
          <w:u w:val="single"/>
        </w:rPr>
      </w:pPr>
      <w:r>
        <w:rPr>
          <w:rFonts w:hint="eastAsia" w:ascii="宋体" w:hAnsi="宋体"/>
          <w:sz w:val="24"/>
        </w:rPr>
        <w:t>姓名：性别：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18943B9">
      <w:pPr>
        <w:spacing w:line="480" w:lineRule="exact"/>
        <w:ind w:firstLine="480" w:firstLineChars="200"/>
        <w:rPr>
          <w:rFonts w:hint="eastAsia" w:ascii="宋体" w:hAnsi="宋体"/>
          <w:sz w:val="24"/>
        </w:rPr>
      </w:pPr>
      <w:r>
        <w:rPr>
          <w:rFonts w:hint="eastAsia" w:ascii="宋体" w:hAnsi="宋体"/>
          <w:sz w:val="24"/>
        </w:rPr>
        <w:t>年龄：职务：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9F7F06A">
      <w:pPr>
        <w:spacing w:line="480" w:lineRule="exact"/>
        <w:ind w:firstLine="480" w:firstLineChars="200"/>
        <w:rPr>
          <w:rFonts w:hint="eastAsia" w:ascii="宋体" w:hAnsi="宋体"/>
          <w:sz w:val="24"/>
        </w:rPr>
      </w:pPr>
      <w:r>
        <w:rPr>
          <w:rFonts w:hint="eastAsia" w:ascii="宋体" w:hAnsi="宋体"/>
          <w:sz w:val="24"/>
        </w:rPr>
        <w:t>系</w:t>
      </w:r>
      <w:r>
        <w:rPr>
          <w:rFonts w:hint="eastAsia" w:ascii="宋体" w:hAnsi="宋体" w:cs="宋体"/>
          <w:sz w:val="24"/>
          <w:u w:val="single"/>
        </w:rPr>
        <w:tab/>
      </w:r>
      <w:r>
        <w:rPr>
          <w:rFonts w:hint="eastAsia" w:ascii="宋体" w:hAnsi="宋体" w:cs="宋体"/>
          <w:sz w:val="24"/>
          <w:u w:val="single"/>
        </w:rPr>
        <w:tab/>
      </w:r>
      <w:r>
        <w:rPr>
          <w:rFonts w:hint="eastAsia" w:ascii="宋体" w:hAnsi="宋体"/>
          <w:sz w:val="24"/>
        </w:rPr>
        <w:t>（供应商名称）的法定代表人。</w:t>
      </w:r>
    </w:p>
    <w:p w14:paraId="67CEF509">
      <w:pPr>
        <w:spacing w:line="480" w:lineRule="exact"/>
        <w:ind w:firstLine="960" w:firstLineChars="400"/>
        <w:rPr>
          <w:rFonts w:hint="eastAsia" w:ascii="宋体" w:hAnsi="宋体"/>
          <w:sz w:val="24"/>
        </w:rPr>
      </w:pPr>
      <w:r>
        <w:rPr>
          <w:rFonts w:hint="eastAsia" w:ascii="宋体" w:hAnsi="宋体"/>
          <w:sz w:val="24"/>
        </w:rPr>
        <w:t>特此证明。</w:t>
      </w:r>
    </w:p>
    <w:p w14:paraId="099B5501">
      <w:pPr>
        <w:spacing w:line="480" w:lineRule="exact"/>
        <w:ind w:firstLine="480" w:firstLineChars="200"/>
        <w:rPr>
          <w:rFonts w:hint="eastAsia" w:ascii="宋体" w:hAnsi="宋体"/>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31DC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8840" w:type="dxa"/>
            <w:noWrap/>
            <w:vAlign w:val="center"/>
          </w:tcPr>
          <w:p w14:paraId="2718CF12">
            <w:pPr>
              <w:widowControl/>
              <w:snapToGrid w:val="0"/>
              <w:spacing w:line="500" w:lineRule="exact"/>
              <w:jc w:val="center"/>
              <w:rPr>
                <w:rFonts w:hint="eastAsia" w:ascii="宋体" w:hAnsi="宋体" w:cs="宋体"/>
                <w:kern w:val="0"/>
                <w:sz w:val="24"/>
                <w:szCs w:val="24"/>
              </w:rPr>
            </w:pPr>
            <w:r>
              <w:rPr>
                <w:rFonts w:hint="eastAsia" w:ascii="宋体" w:hAnsi="宋体" w:cs="宋体"/>
                <w:kern w:val="0"/>
                <w:sz w:val="24"/>
                <w:szCs w:val="24"/>
              </w:rPr>
              <w:t>（附法定代表人身份证扫描件正、反面）</w:t>
            </w:r>
          </w:p>
          <w:p w14:paraId="7DCCB8DB">
            <w:pPr>
              <w:widowControl/>
              <w:snapToGrid w:val="0"/>
              <w:spacing w:line="500" w:lineRule="exact"/>
              <w:jc w:val="left"/>
              <w:rPr>
                <w:rFonts w:hint="eastAsia" w:ascii="宋体" w:hAnsi="宋体" w:cs="宋体"/>
                <w:kern w:val="0"/>
              </w:rPr>
            </w:pPr>
          </w:p>
        </w:tc>
      </w:tr>
    </w:tbl>
    <w:p w14:paraId="7952709E">
      <w:pPr>
        <w:spacing w:line="480" w:lineRule="exact"/>
        <w:ind w:firstLine="480" w:firstLineChars="200"/>
        <w:rPr>
          <w:rFonts w:hint="eastAsia" w:ascii="宋体" w:hAnsi="宋体"/>
          <w:sz w:val="24"/>
        </w:rPr>
      </w:pPr>
    </w:p>
    <w:p w14:paraId="6AB75EB9">
      <w:pPr>
        <w:spacing w:line="480" w:lineRule="exact"/>
        <w:ind w:firstLine="480" w:firstLineChars="200"/>
        <w:rPr>
          <w:rFonts w:hint="eastAsia" w:ascii="宋体" w:hAnsi="宋体"/>
          <w:sz w:val="24"/>
        </w:rPr>
      </w:pPr>
    </w:p>
    <w:p w14:paraId="17B9CCD4">
      <w:pPr>
        <w:spacing w:line="480" w:lineRule="exact"/>
        <w:ind w:firstLine="480" w:firstLineChars="200"/>
        <w:rPr>
          <w:rFonts w:hint="eastAsia" w:ascii="宋体" w:hAnsi="宋体"/>
          <w:sz w:val="24"/>
          <w:u w:val="single"/>
        </w:rPr>
      </w:pPr>
      <w:r>
        <w:rPr>
          <w:rFonts w:hint="eastAsia" w:ascii="宋体" w:hAnsi="宋体"/>
          <w:sz w:val="24"/>
        </w:rPr>
        <w:t>供应商：</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kern w:val="0"/>
          <w:sz w:val="24"/>
        </w:rPr>
        <w:t>（</w:t>
      </w:r>
      <w:r>
        <w:rPr>
          <w:rFonts w:hint="eastAsia" w:ascii="宋体" w:hAnsi="宋体" w:cs="宋体"/>
          <w:sz w:val="24"/>
        </w:rPr>
        <w:t>电子章</w:t>
      </w:r>
      <w:r>
        <w:rPr>
          <w:rFonts w:hint="eastAsia" w:ascii="宋体" w:hAnsi="宋体" w:cs="宋体"/>
          <w:kern w:val="0"/>
          <w:sz w:val="24"/>
        </w:rPr>
        <w:t>）</w:t>
      </w:r>
    </w:p>
    <w:p w14:paraId="4DF3B0E3">
      <w:pPr>
        <w:spacing w:line="480" w:lineRule="exact"/>
        <w:ind w:firstLine="480" w:firstLineChars="2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日 </w:t>
      </w:r>
    </w:p>
    <w:p w14:paraId="18D5E66F"/>
    <w:p w14:paraId="60F5EE5D">
      <w:pPr>
        <w:spacing w:before="240" w:beforeLines="100" w:after="240" w:afterLines="100"/>
        <w:jc w:val="center"/>
        <w:outlineLvl w:val="2"/>
        <w:rPr>
          <w:rFonts w:asci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（二）授权委托书</w:t>
      </w:r>
    </w:p>
    <w:p w14:paraId="55C64EE9">
      <w:pPr>
        <w:spacing w:line="480" w:lineRule="exact"/>
        <w:ind w:firstLine="720" w:firstLineChars="300"/>
        <w:rPr>
          <w:rFonts w:ascii="宋体"/>
          <w:sz w:val="24"/>
          <w:szCs w:val="24"/>
        </w:rPr>
      </w:pPr>
      <w:r>
        <w:rPr>
          <w:rFonts w:hint="eastAsia" w:ascii="宋体" w:hAnsi="宋体" w:cs="宋体"/>
          <w:sz w:val="24"/>
          <w:szCs w:val="24"/>
        </w:rPr>
        <w:t>本人</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（姓名）系</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（供应商名称）的法定代表人，现委托</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（姓名，职务，联系方式）为我方代理人。代理人根据授权，以我方名义签署、澄清、说明、补正、递交、撤回、修改</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sz w:val="24"/>
          <w:szCs w:val="24"/>
        </w:rPr>
        <w:t>（项目名称及项目编号）响应文件、签订合同和处理有关事宜，其法律后果由我方承担。</w:t>
      </w:r>
    </w:p>
    <w:p w14:paraId="33CE146A">
      <w:pPr>
        <w:spacing w:line="480" w:lineRule="exact"/>
        <w:ind w:firstLine="480" w:firstLineChars="200"/>
        <w:rPr>
          <w:rFonts w:hint="eastAsia" w:ascii="宋体" w:hAnsi="宋体" w:cs="宋体"/>
          <w:sz w:val="24"/>
          <w:szCs w:val="24"/>
        </w:rPr>
      </w:pPr>
      <w:r>
        <w:rPr>
          <w:rFonts w:hint="eastAsia" w:ascii="宋体" w:hAnsi="宋体" w:cs="宋体"/>
          <w:sz w:val="24"/>
          <w:szCs w:val="24"/>
        </w:rPr>
        <w:t>我方对被授权人的签名事项负全部责任。</w:t>
      </w:r>
    </w:p>
    <w:p w14:paraId="03F20333">
      <w:pPr>
        <w:spacing w:line="480" w:lineRule="exact"/>
        <w:ind w:firstLine="480" w:firstLineChars="200"/>
        <w:rPr>
          <w:rFonts w:hint="eastAsia" w:ascii="宋体" w:hAnsi="宋体" w:cs="宋体"/>
          <w:sz w:val="24"/>
          <w:szCs w:val="24"/>
        </w:rPr>
      </w:pPr>
      <w:r>
        <w:rPr>
          <w:rFonts w:hint="eastAsia" w:ascii="宋体" w:hAnsi="宋体" w:cs="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6716316">
      <w:pPr>
        <w:spacing w:line="480" w:lineRule="exact"/>
        <w:ind w:firstLine="480" w:firstLineChars="200"/>
        <w:rPr>
          <w:rFonts w:ascii="宋体"/>
          <w:sz w:val="24"/>
          <w:szCs w:val="24"/>
        </w:rPr>
      </w:pPr>
      <w:r>
        <w:rPr>
          <w:rFonts w:hint="eastAsia" w:ascii="宋体" w:hAnsi="宋体" w:cs="宋体"/>
          <w:sz w:val="24"/>
          <w:szCs w:val="24"/>
        </w:rPr>
        <w:t>被授权人无转委托权，特此委托。</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9"/>
        <w:gridCol w:w="8"/>
        <w:gridCol w:w="4922"/>
        <w:gridCol w:w="16"/>
      </w:tblGrid>
      <w:tr w14:paraId="428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636" w:hRule="atLeast"/>
          <w:jc w:val="center"/>
        </w:trPr>
        <w:tc>
          <w:tcPr>
            <w:tcW w:w="4919" w:type="dxa"/>
            <w:noWrap/>
            <w:vAlign w:val="center"/>
          </w:tcPr>
          <w:p w14:paraId="76F33F98">
            <w:pPr>
              <w:jc w:val="center"/>
              <w:rPr>
                <w:rFonts w:hint="eastAsia" w:ascii="宋体" w:hAnsi="宋体" w:cs="宋体"/>
                <w:sz w:val="24"/>
                <w:szCs w:val="24"/>
              </w:rPr>
            </w:pPr>
            <w:r>
              <w:rPr>
                <w:rFonts w:hint="eastAsia" w:ascii="宋体" w:hAnsi="宋体" w:cs="宋体"/>
                <w:sz w:val="24"/>
                <w:szCs w:val="24"/>
              </w:rPr>
              <w:t>法定代表人身份证（1）</w:t>
            </w:r>
          </w:p>
        </w:tc>
        <w:tc>
          <w:tcPr>
            <w:tcW w:w="4919" w:type="dxa"/>
            <w:gridSpan w:val="2"/>
            <w:noWrap/>
            <w:vAlign w:val="center"/>
          </w:tcPr>
          <w:p w14:paraId="6CDBAD1E">
            <w:pPr>
              <w:jc w:val="center"/>
              <w:rPr>
                <w:rFonts w:hint="eastAsia" w:ascii="宋体" w:hAnsi="宋体" w:cs="宋体"/>
                <w:sz w:val="24"/>
                <w:szCs w:val="24"/>
              </w:rPr>
            </w:pPr>
            <w:r>
              <w:rPr>
                <w:rFonts w:hint="eastAsia" w:ascii="宋体" w:hAnsi="宋体" w:cs="宋体"/>
                <w:sz w:val="24"/>
                <w:szCs w:val="24"/>
              </w:rPr>
              <w:t>法定代表人身份证（2）</w:t>
            </w:r>
          </w:p>
        </w:tc>
      </w:tr>
      <w:tr w14:paraId="64E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927" w:type="dxa"/>
            <w:gridSpan w:val="2"/>
            <w:noWrap/>
            <w:vAlign w:val="center"/>
          </w:tcPr>
          <w:p w14:paraId="3F9CDBAE">
            <w:pPr>
              <w:jc w:val="center"/>
              <w:rPr>
                <w:rFonts w:hint="eastAsia" w:ascii="宋体" w:hAnsi="宋体" w:cs="宋体"/>
                <w:sz w:val="24"/>
                <w:szCs w:val="24"/>
              </w:rPr>
            </w:pPr>
            <w:r>
              <w:rPr>
                <w:rFonts w:hint="eastAsia" w:ascii="宋体" w:hAnsi="宋体" w:cs="宋体"/>
                <w:sz w:val="24"/>
                <w:szCs w:val="24"/>
              </w:rPr>
              <w:t>法定代表人授权委托人身份证（1）</w:t>
            </w:r>
          </w:p>
        </w:tc>
        <w:tc>
          <w:tcPr>
            <w:tcW w:w="4927" w:type="dxa"/>
            <w:gridSpan w:val="2"/>
            <w:noWrap/>
            <w:vAlign w:val="center"/>
          </w:tcPr>
          <w:p w14:paraId="7FA480C4">
            <w:pPr>
              <w:jc w:val="center"/>
              <w:rPr>
                <w:rFonts w:hint="eastAsia" w:ascii="宋体" w:hAnsi="宋体" w:cs="宋体"/>
                <w:sz w:val="24"/>
                <w:szCs w:val="24"/>
              </w:rPr>
            </w:pPr>
            <w:r>
              <w:rPr>
                <w:rFonts w:hint="eastAsia" w:ascii="宋体" w:hAnsi="宋体" w:cs="宋体"/>
                <w:sz w:val="24"/>
                <w:szCs w:val="24"/>
              </w:rPr>
              <w:t>法定代表人授权委托人身份证（2）</w:t>
            </w:r>
          </w:p>
        </w:tc>
      </w:tr>
    </w:tbl>
    <w:p w14:paraId="6F969B44">
      <w:pPr>
        <w:spacing w:line="480" w:lineRule="exact"/>
        <w:ind w:firstLine="480" w:firstLineChars="200"/>
        <w:rPr>
          <w:rFonts w:ascii="宋体"/>
          <w:sz w:val="24"/>
          <w:szCs w:val="24"/>
        </w:rPr>
      </w:pPr>
    </w:p>
    <w:p w14:paraId="7FCF6C7F">
      <w:pPr>
        <w:spacing w:line="480" w:lineRule="exact"/>
        <w:ind w:firstLine="480" w:firstLineChars="200"/>
        <w:rPr>
          <w:rFonts w:ascii="宋体"/>
          <w:sz w:val="24"/>
          <w:szCs w:val="24"/>
        </w:rPr>
      </w:pPr>
    </w:p>
    <w:p w14:paraId="53823A73">
      <w:pPr>
        <w:wordWrap w:val="0"/>
        <w:spacing w:line="480" w:lineRule="exact"/>
        <w:rPr>
          <w:rFonts w:ascii="宋体"/>
          <w:b/>
          <w:bCs/>
          <w:sz w:val="24"/>
          <w:szCs w:val="24"/>
        </w:rPr>
      </w:pPr>
      <w:r>
        <w:rPr>
          <w:rFonts w:hint="eastAsia" w:ascii="宋体" w:hAnsi="宋体" w:cs="宋体"/>
          <w:sz w:val="24"/>
          <w:szCs w:val="24"/>
        </w:rPr>
        <w:t>供应商：</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kern w:val="0"/>
          <w:sz w:val="24"/>
          <w:szCs w:val="24"/>
        </w:rPr>
        <w:t>（</w:t>
      </w:r>
      <w:r>
        <w:rPr>
          <w:rFonts w:hint="eastAsia" w:ascii="宋体" w:hAnsi="宋体" w:cs="宋体"/>
          <w:sz w:val="24"/>
          <w:szCs w:val="24"/>
        </w:rPr>
        <w:t>电子章</w:t>
      </w:r>
      <w:r>
        <w:rPr>
          <w:rFonts w:hint="eastAsia" w:ascii="宋体" w:hAnsi="宋体" w:cs="宋体"/>
          <w:kern w:val="0"/>
          <w:sz w:val="24"/>
          <w:szCs w:val="24"/>
        </w:rPr>
        <w:t>）</w:t>
      </w:r>
    </w:p>
    <w:p w14:paraId="4609206C">
      <w:pPr>
        <w:spacing w:line="480" w:lineRule="exact"/>
        <w:rPr>
          <w:rFonts w:ascii="宋体"/>
          <w:kern w:val="0"/>
          <w:sz w:val="24"/>
          <w:szCs w:val="24"/>
        </w:rPr>
      </w:pPr>
      <w:r>
        <w:rPr>
          <w:rFonts w:hint="eastAsia" w:ascii="宋体" w:hAnsi="宋体" w:cs="宋体"/>
          <w:sz w:val="24"/>
          <w:szCs w:val="24"/>
        </w:rPr>
        <w:t>法定代表人或授权委托人：</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hint="eastAsia" w:ascii="宋体" w:hAnsi="宋体" w:cs="宋体"/>
          <w:kern w:val="0"/>
          <w:sz w:val="24"/>
          <w:szCs w:val="24"/>
        </w:rPr>
        <w:t>（电子签章）</w:t>
      </w:r>
    </w:p>
    <w:p w14:paraId="672DB67C">
      <w:pPr>
        <w:spacing w:line="480" w:lineRule="exact"/>
        <w:rPr>
          <w:rFonts w:ascii="宋体"/>
          <w:sz w:val="24"/>
          <w:szCs w:val="24"/>
        </w:rPr>
      </w:pPr>
      <w:r>
        <w:rPr>
          <w:rFonts w:hint="eastAsia" w:ascii="宋体" w:hAnsi="宋体" w:cs="宋体"/>
          <w:sz w:val="24"/>
          <w:szCs w:val="24"/>
        </w:rPr>
        <w:t>日期</w:t>
      </w:r>
      <w:r>
        <w:rPr>
          <w:rFonts w:ascii="宋体" w:hAnsi="宋体" w:cs="宋体"/>
          <w:sz w:val="24"/>
          <w:szCs w:val="24"/>
        </w:rPr>
        <w:t>:</w:t>
      </w:r>
      <w:r>
        <w:rPr>
          <w:rFonts w:ascii="宋体"/>
          <w:sz w:val="24"/>
          <w:szCs w:val="24"/>
          <w:u w:val="single"/>
        </w:rPr>
        <w:tab/>
      </w:r>
      <w:r>
        <w:rPr>
          <w:rFonts w:ascii="宋体"/>
          <w:sz w:val="24"/>
          <w:szCs w:val="24"/>
          <w:u w:val="single"/>
        </w:rPr>
        <w:tab/>
      </w:r>
      <w:r>
        <w:rPr>
          <w:rFonts w:hint="eastAsia" w:ascii="宋体" w:hAnsi="宋体" w:cs="宋体"/>
          <w:sz w:val="24"/>
          <w:szCs w:val="24"/>
        </w:rPr>
        <w:t>年</w:t>
      </w:r>
      <w:r>
        <w:rPr>
          <w:rFonts w:ascii="宋体"/>
          <w:sz w:val="24"/>
          <w:szCs w:val="24"/>
          <w:u w:val="single"/>
        </w:rPr>
        <w:tab/>
      </w:r>
      <w:r>
        <w:rPr>
          <w:rFonts w:ascii="宋体"/>
          <w:sz w:val="24"/>
          <w:szCs w:val="24"/>
          <w:u w:val="single"/>
        </w:rPr>
        <w:tab/>
      </w:r>
      <w:r>
        <w:rPr>
          <w:rFonts w:hint="eastAsia" w:ascii="宋体" w:hAnsi="宋体" w:cs="宋体"/>
          <w:sz w:val="24"/>
          <w:szCs w:val="24"/>
        </w:rPr>
        <w:t>月</w:t>
      </w:r>
      <w:r>
        <w:rPr>
          <w:rFonts w:ascii="宋体"/>
          <w:sz w:val="24"/>
          <w:szCs w:val="24"/>
          <w:u w:val="single"/>
        </w:rPr>
        <w:tab/>
      </w:r>
      <w:r>
        <w:rPr>
          <w:rFonts w:ascii="宋体"/>
          <w:sz w:val="24"/>
          <w:szCs w:val="24"/>
          <w:u w:val="single"/>
        </w:rPr>
        <w:tab/>
      </w:r>
      <w:r>
        <w:rPr>
          <w:rFonts w:hint="eastAsia" w:ascii="宋体" w:hAnsi="宋体" w:cs="宋体"/>
          <w:sz w:val="24"/>
          <w:szCs w:val="24"/>
        </w:rPr>
        <w:t>日</w:t>
      </w:r>
    </w:p>
    <w:p w14:paraId="5FBE986C">
      <w:pPr>
        <w:jc w:val="center"/>
        <w:outlineLvl w:val="1"/>
        <w:rPr>
          <w:rFonts w:cs="宋体"/>
          <w:b/>
          <w:bCs/>
          <w:sz w:val="28"/>
          <w:szCs w:val="28"/>
        </w:rPr>
      </w:pPr>
      <w:bookmarkStart w:id="405" w:name="_Toc152656732"/>
      <w:bookmarkStart w:id="406" w:name="_Toc113608212"/>
      <w:bookmarkStart w:id="407" w:name="_Toc10820_WPSOffice_Level1"/>
      <w:r>
        <w:rPr>
          <w:rFonts w:hint="eastAsia" w:cs="宋体"/>
          <w:b/>
          <w:bCs/>
          <w:sz w:val="28"/>
          <w:szCs w:val="28"/>
        </w:rPr>
        <w:t>三、资格审查资料</w:t>
      </w:r>
      <w:bookmarkEnd w:id="405"/>
      <w:bookmarkEnd w:id="406"/>
      <w:bookmarkEnd w:id="407"/>
    </w:p>
    <w:p w14:paraId="2DEA5E39">
      <w:pPr>
        <w:spacing w:line="360" w:lineRule="auto"/>
        <w:jc w:val="left"/>
        <w:rPr>
          <w:rFonts w:cs="宋体"/>
          <w:sz w:val="24"/>
          <w:szCs w:val="22"/>
        </w:rPr>
      </w:pPr>
      <w:bookmarkStart w:id="408" w:name="_Toc18775_WPSOffice_Level1"/>
      <w:r>
        <w:rPr>
          <w:rFonts w:cs="宋体"/>
          <w:sz w:val="24"/>
          <w:szCs w:val="22"/>
        </w:rPr>
        <w:t xml:space="preserve">（一）投标人基本情况表 </w:t>
      </w:r>
    </w:p>
    <w:p w14:paraId="132D7545">
      <w:pPr>
        <w:spacing w:line="360" w:lineRule="auto"/>
        <w:jc w:val="left"/>
        <w:rPr>
          <w:rFonts w:cs="宋体"/>
          <w:sz w:val="24"/>
          <w:szCs w:val="22"/>
        </w:rPr>
      </w:pPr>
      <w:r>
        <w:rPr>
          <w:rFonts w:cs="宋体"/>
          <w:sz w:val="24"/>
          <w:szCs w:val="22"/>
        </w:rPr>
        <w:t xml:space="preserve">（二）无财政部门不良行为承诺函 </w:t>
      </w:r>
    </w:p>
    <w:p w14:paraId="51F89342">
      <w:pPr>
        <w:spacing w:line="360" w:lineRule="auto"/>
        <w:jc w:val="left"/>
        <w:rPr>
          <w:rFonts w:cs="宋体"/>
          <w:sz w:val="24"/>
          <w:szCs w:val="22"/>
        </w:rPr>
      </w:pPr>
      <w:r>
        <w:rPr>
          <w:rFonts w:cs="宋体"/>
          <w:sz w:val="24"/>
          <w:szCs w:val="22"/>
        </w:rPr>
        <w:t xml:space="preserve">（三）无行政或经济关联的书面声明 </w:t>
      </w:r>
    </w:p>
    <w:p w14:paraId="483637D9">
      <w:pPr>
        <w:spacing w:line="360" w:lineRule="auto"/>
        <w:jc w:val="left"/>
        <w:rPr>
          <w:rFonts w:cs="宋体"/>
          <w:sz w:val="24"/>
          <w:szCs w:val="22"/>
        </w:rPr>
      </w:pPr>
      <w:r>
        <w:rPr>
          <w:rFonts w:cs="宋体"/>
          <w:sz w:val="24"/>
          <w:szCs w:val="22"/>
        </w:rPr>
        <w:t xml:space="preserve">（四）无重大违法记录的书面声明 </w:t>
      </w:r>
    </w:p>
    <w:p w14:paraId="630956BF">
      <w:pPr>
        <w:spacing w:line="360" w:lineRule="auto"/>
        <w:jc w:val="left"/>
        <w:rPr>
          <w:rFonts w:cs="宋体"/>
          <w:sz w:val="24"/>
          <w:szCs w:val="22"/>
        </w:rPr>
      </w:pPr>
      <w:r>
        <w:rPr>
          <w:rFonts w:cs="宋体"/>
          <w:sz w:val="24"/>
          <w:szCs w:val="22"/>
        </w:rPr>
        <w:t>（五）</w:t>
      </w:r>
      <w:r>
        <w:rPr>
          <w:rFonts w:hint="eastAsia" w:cs="宋体"/>
          <w:sz w:val="24"/>
          <w:szCs w:val="22"/>
        </w:rPr>
        <w:t>具备履行合同所必需的设备和专业技术能力的证明材料</w:t>
      </w:r>
      <w:r>
        <w:rPr>
          <w:rFonts w:cs="宋体"/>
          <w:sz w:val="24"/>
          <w:szCs w:val="22"/>
        </w:rPr>
        <w:t xml:space="preserve"> </w:t>
      </w:r>
    </w:p>
    <w:p w14:paraId="7851D232">
      <w:pPr>
        <w:spacing w:line="360" w:lineRule="auto"/>
        <w:jc w:val="left"/>
        <w:rPr>
          <w:rFonts w:cs="宋体"/>
          <w:sz w:val="24"/>
          <w:szCs w:val="22"/>
        </w:rPr>
      </w:pPr>
      <w:r>
        <w:rPr>
          <w:rFonts w:cs="宋体"/>
          <w:sz w:val="24"/>
          <w:szCs w:val="22"/>
        </w:rPr>
        <w:t>（六）</w:t>
      </w:r>
      <w:r>
        <w:rPr>
          <w:rFonts w:hint="eastAsia" w:cs="宋体"/>
          <w:sz w:val="24"/>
          <w:szCs w:val="22"/>
        </w:rPr>
        <w:t>资格承诺声明函</w:t>
      </w:r>
    </w:p>
    <w:p w14:paraId="75F9CF2F">
      <w:pPr>
        <w:spacing w:line="360" w:lineRule="auto"/>
        <w:jc w:val="left"/>
        <w:rPr>
          <w:rFonts w:cs="宋体"/>
          <w:sz w:val="24"/>
          <w:szCs w:val="22"/>
        </w:rPr>
      </w:pPr>
      <w:r>
        <w:rPr>
          <w:rFonts w:cs="宋体"/>
          <w:sz w:val="24"/>
          <w:szCs w:val="22"/>
        </w:rPr>
        <w:t>（</w:t>
      </w:r>
      <w:r>
        <w:rPr>
          <w:rFonts w:hint="eastAsia" w:cs="宋体"/>
          <w:sz w:val="24"/>
          <w:szCs w:val="22"/>
        </w:rPr>
        <w:t>七</w:t>
      </w:r>
      <w:r>
        <w:rPr>
          <w:rFonts w:cs="宋体"/>
          <w:sz w:val="24"/>
          <w:szCs w:val="22"/>
        </w:rPr>
        <w:t>）财务报告</w:t>
      </w:r>
    </w:p>
    <w:p w14:paraId="0B8E2434">
      <w:pPr>
        <w:spacing w:line="360" w:lineRule="auto"/>
        <w:jc w:val="left"/>
        <w:rPr>
          <w:rFonts w:cs="宋体"/>
          <w:sz w:val="24"/>
          <w:szCs w:val="22"/>
        </w:rPr>
      </w:pPr>
      <w:r>
        <w:rPr>
          <w:rFonts w:cs="宋体"/>
          <w:sz w:val="24"/>
          <w:szCs w:val="22"/>
        </w:rPr>
        <w:t>（</w:t>
      </w:r>
      <w:r>
        <w:rPr>
          <w:rFonts w:hint="eastAsia" w:cs="宋体"/>
          <w:sz w:val="24"/>
          <w:szCs w:val="22"/>
        </w:rPr>
        <w:t>八</w:t>
      </w:r>
      <w:r>
        <w:rPr>
          <w:rFonts w:cs="宋体"/>
          <w:sz w:val="24"/>
          <w:szCs w:val="22"/>
        </w:rPr>
        <w:t xml:space="preserve">）信誉要求 </w:t>
      </w:r>
    </w:p>
    <w:p w14:paraId="670FA88B">
      <w:pPr>
        <w:spacing w:line="360" w:lineRule="auto"/>
        <w:jc w:val="left"/>
        <w:rPr>
          <w:sz w:val="24"/>
          <w:szCs w:val="22"/>
        </w:rPr>
      </w:pPr>
      <w:r>
        <w:rPr>
          <w:rFonts w:cs="宋体"/>
          <w:sz w:val="24"/>
          <w:szCs w:val="22"/>
        </w:rPr>
        <w:t>（</w:t>
      </w:r>
      <w:r>
        <w:rPr>
          <w:rFonts w:hint="eastAsia" w:cs="宋体"/>
          <w:sz w:val="24"/>
          <w:szCs w:val="22"/>
        </w:rPr>
        <w:t>九</w:t>
      </w:r>
      <w:r>
        <w:rPr>
          <w:rFonts w:cs="宋体"/>
          <w:sz w:val="24"/>
          <w:szCs w:val="22"/>
        </w:rPr>
        <w:t>）其他资料</w:t>
      </w:r>
    </w:p>
    <w:p w14:paraId="5EC1CB8A">
      <w:pPr>
        <w:spacing w:line="360" w:lineRule="auto"/>
        <w:jc w:val="left"/>
        <w:rPr>
          <w:rFonts w:cs="宋体"/>
          <w:sz w:val="24"/>
          <w:szCs w:val="22"/>
        </w:rPr>
      </w:pPr>
      <w:r>
        <w:rPr>
          <w:rFonts w:cs="宋体"/>
          <w:sz w:val="24"/>
          <w:szCs w:val="22"/>
        </w:rPr>
        <w:t>注：1.资格审查资料以系统生成格式为准，如系统未规定</w:t>
      </w:r>
      <w:r>
        <w:rPr>
          <w:rFonts w:hint="eastAsia" w:cs="宋体"/>
          <w:sz w:val="24"/>
          <w:szCs w:val="22"/>
        </w:rPr>
        <w:t>格式</w:t>
      </w:r>
      <w:r>
        <w:rPr>
          <w:rFonts w:cs="宋体"/>
          <w:sz w:val="24"/>
          <w:szCs w:val="22"/>
        </w:rPr>
        <w:t>请自拟。</w:t>
      </w:r>
    </w:p>
    <w:p w14:paraId="4BAA4E50">
      <w:pPr>
        <w:spacing w:line="360" w:lineRule="auto"/>
        <w:jc w:val="left"/>
        <w:rPr>
          <w:rFonts w:cs="宋体"/>
          <w:sz w:val="24"/>
          <w:szCs w:val="22"/>
        </w:rPr>
      </w:pPr>
      <w:r>
        <w:rPr>
          <w:rFonts w:cs="宋体"/>
          <w:sz w:val="24"/>
          <w:szCs w:val="22"/>
        </w:rPr>
        <w:t>2.其他资格审查资料参照“第</w:t>
      </w:r>
      <w:r>
        <w:rPr>
          <w:rFonts w:hint="eastAsia" w:cs="宋体"/>
          <w:sz w:val="24"/>
          <w:szCs w:val="22"/>
        </w:rPr>
        <w:t>三</w:t>
      </w:r>
      <w:r>
        <w:rPr>
          <w:rFonts w:cs="宋体"/>
          <w:sz w:val="24"/>
          <w:szCs w:val="22"/>
        </w:rPr>
        <w:t>章 评标办法”资格审查部分的规定，附相关材料原件彩色扫描 件。</w:t>
      </w:r>
    </w:p>
    <w:p w14:paraId="5F8B4374"/>
    <w:p w14:paraId="7CA7A4A9">
      <w:pPr>
        <w:jc w:val="center"/>
        <w:outlineLvl w:val="1"/>
        <w:rPr>
          <w:rFonts w:cs="宋体"/>
          <w:b/>
          <w:bCs/>
          <w:sz w:val="28"/>
          <w:szCs w:val="28"/>
        </w:rPr>
      </w:pPr>
      <w:r>
        <w:rPr>
          <w:rFonts w:hint="eastAsia"/>
        </w:rPr>
        <w:br w:type="page"/>
      </w:r>
      <w:bookmarkStart w:id="409" w:name="_Toc152656733"/>
      <w:bookmarkStart w:id="410" w:name="_Toc113608213"/>
      <w:r>
        <w:rPr>
          <w:rFonts w:hint="eastAsia" w:cs="宋体"/>
          <w:b/>
          <w:bCs/>
          <w:sz w:val="28"/>
          <w:szCs w:val="28"/>
        </w:rPr>
        <w:t>四、投标一览表</w:t>
      </w:r>
      <w:bookmarkEnd w:id="408"/>
      <w:bookmarkEnd w:id="409"/>
      <w:bookmarkEnd w:id="410"/>
    </w:p>
    <w:p w14:paraId="4664DA56">
      <w:pPr>
        <w:jc w:val="center"/>
        <w:rPr>
          <w:sz w:val="22"/>
          <w:szCs w:val="22"/>
        </w:rPr>
      </w:pPr>
    </w:p>
    <w:p w14:paraId="2618E14C">
      <w:pPr>
        <w:jc w:val="center"/>
        <w:rPr>
          <w:sz w:val="22"/>
          <w:szCs w:val="22"/>
        </w:rPr>
      </w:pPr>
      <w:r>
        <w:rPr>
          <w:rFonts w:hint="eastAsia" w:cs="宋体"/>
          <w:sz w:val="22"/>
          <w:szCs w:val="22"/>
        </w:rPr>
        <w:t>（注：</w:t>
      </w:r>
      <w:r>
        <w:rPr>
          <w:rFonts w:cs="宋体"/>
          <w:sz w:val="22"/>
          <w:szCs w:val="22"/>
        </w:rPr>
        <w:t>本表以系统自行生成格式为准，与</w:t>
      </w:r>
      <w:r>
        <w:rPr>
          <w:rFonts w:hint="eastAsia" w:hAnsi="宋体" w:cs="宋体"/>
          <w:sz w:val="24"/>
          <w:szCs w:val="24"/>
        </w:rPr>
        <w:t>竞争性磋商文件</w:t>
      </w:r>
      <w:r>
        <w:rPr>
          <w:rFonts w:cs="宋体"/>
          <w:sz w:val="22"/>
          <w:szCs w:val="22"/>
        </w:rPr>
        <w:t>格式问题不构成废标。</w:t>
      </w:r>
      <w:r>
        <w:rPr>
          <w:rFonts w:hint="eastAsia" w:cs="宋体"/>
          <w:sz w:val="22"/>
          <w:szCs w:val="22"/>
        </w:rPr>
        <w:t>）</w:t>
      </w:r>
    </w:p>
    <w:p w14:paraId="2387E219">
      <w:pPr>
        <w:spacing w:before="91" w:line="219" w:lineRule="auto"/>
        <w:ind w:left="3622"/>
        <w:outlineLvl w:val="1"/>
        <w:rPr>
          <w:rFonts w:hint="eastAsia" w:ascii="宋体" w:hAnsi="宋体" w:cs="宋体"/>
          <w:sz w:val="28"/>
          <w:szCs w:val="28"/>
        </w:rPr>
      </w:pPr>
      <w:r>
        <w:br w:type="page"/>
      </w:r>
      <w:bookmarkStart w:id="411" w:name="_Toc31460"/>
      <w:bookmarkStart w:id="412" w:name="_Toc113608217"/>
      <w:bookmarkStart w:id="413" w:name="_Toc152656734"/>
      <w:r>
        <w:rPr>
          <w:rFonts w:hint="eastAsia" w:cs="宋体"/>
          <w:b/>
          <w:bCs/>
          <w:sz w:val="28"/>
          <w:szCs w:val="28"/>
        </w:rPr>
        <w:t>五、</w:t>
      </w:r>
      <w:bookmarkEnd w:id="411"/>
      <w:bookmarkEnd w:id="412"/>
      <w:bookmarkEnd w:id="413"/>
      <w:r>
        <w:rPr>
          <w:rFonts w:ascii="宋体" w:hAnsi="宋体" w:cs="宋体"/>
          <w:b/>
          <w:bCs/>
          <w:spacing w:val="-4"/>
          <w:sz w:val="28"/>
          <w:szCs w:val="28"/>
        </w:rPr>
        <w:t>分项报价明细表</w:t>
      </w:r>
    </w:p>
    <w:p w14:paraId="2EF9A97B">
      <w:pPr>
        <w:spacing w:line="120" w:lineRule="exact"/>
      </w:pPr>
    </w:p>
    <w:tbl>
      <w:tblPr>
        <w:tblStyle w:val="91"/>
        <w:tblW w:w="9018" w:type="dxa"/>
        <w:tblInd w:w="3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05"/>
        <w:gridCol w:w="1055"/>
        <w:gridCol w:w="857"/>
        <w:gridCol w:w="1420"/>
        <w:gridCol w:w="734"/>
        <w:gridCol w:w="734"/>
        <w:gridCol w:w="788"/>
        <w:gridCol w:w="773"/>
        <w:gridCol w:w="678"/>
      </w:tblGrid>
      <w:tr w14:paraId="3A63F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74" w:type="dxa"/>
          </w:tcPr>
          <w:p w14:paraId="3AE7A9B4">
            <w:pPr>
              <w:spacing w:line="313" w:lineRule="auto"/>
              <w:rPr>
                <w:rFonts w:ascii="Arial"/>
              </w:rPr>
            </w:pPr>
          </w:p>
          <w:p w14:paraId="646625F2">
            <w:pPr>
              <w:pStyle w:val="90"/>
              <w:spacing w:before="65" w:line="229" w:lineRule="auto"/>
              <w:ind w:left="181"/>
              <w:rPr>
                <w:rFonts w:hint="eastAsia"/>
                <w:sz w:val="20"/>
                <w:szCs w:val="20"/>
              </w:rPr>
            </w:pPr>
            <w:r>
              <w:rPr>
                <w:spacing w:val="5"/>
                <w:sz w:val="20"/>
                <w:szCs w:val="20"/>
              </w:rPr>
              <w:t>序号</w:t>
            </w:r>
          </w:p>
        </w:tc>
        <w:tc>
          <w:tcPr>
            <w:tcW w:w="1205" w:type="dxa"/>
          </w:tcPr>
          <w:p w14:paraId="3DCAA0A9">
            <w:pPr>
              <w:spacing w:line="313" w:lineRule="auto"/>
              <w:rPr>
                <w:rFonts w:ascii="Arial"/>
              </w:rPr>
            </w:pPr>
          </w:p>
          <w:p w14:paraId="218254E1">
            <w:pPr>
              <w:pStyle w:val="90"/>
              <w:spacing w:before="65" w:line="228" w:lineRule="auto"/>
              <w:ind w:left="187"/>
              <w:rPr>
                <w:rFonts w:hint="eastAsia"/>
                <w:sz w:val="20"/>
                <w:szCs w:val="20"/>
              </w:rPr>
            </w:pPr>
            <w:r>
              <w:rPr>
                <w:spacing w:val="7"/>
                <w:sz w:val="20"/>
                <w:szCs w:val="20"/>
              </w:rPr>
              <w:t>产品名称</w:t>
            </w:r>
          </w:p>
        </w:tc>
        <w:tc>
          <w:tcPr>
            <w:tcW w:w="1055" w:type="dxa"/>
          </w:tcPr>
          <w:p w14:paraId="1FFEFB48">
            <w:pPr>
              <w:spacing w:line="313" w:lineRule="auto"/>
              <w:rPr>
                <w:rFonts w:ascii="Arial"/>
              </w:rPr>
            </w:pPr>
          </w:p>
          <w:p w14:paraId="13FAADD5">
            <w:pPr>
              <w:pStyle w:val="90"/>
              <w:spacing w:before="65" w:line="228" w:lineRule="auto"/>
              <w:ind w:left="130"/>
              <w:rPr>
                <w:rFonts w:hint="eastAsia"/>
                <w:sz w:val="20"/>
                <w:szCs w:val="20"/>
              </w:rPr>
            </w:pPr>
            <w:r>
              <w:rPr>
                <w:spacing w:val="3"/>
                <w:sz w:val="20"/>
                <w:szCs w:val="20"/>
              </w:rPr>
              <w:t>品牌型号</w:t>
            </w:r>
          </w:p>
        </w:tc>
        <w:tc>
          <w:tcPr>
            <w:tcW w:w="857" w:type="dxa"/>
          </w:tcPr>
          <w:p w14:paraId="12EB9275">
            <w:pPr>
              <w:spacing w:line="313" w:lineRule="auto"/>
              <w:rPr>
                <w:rFonts w:ascii="Arial"/>
              </w:rPr>
            </w:pPr>
          </w:p>
          <w:p w14:paraId="725E5051">
            <w:pPr>
              <w:pStyle w:val="90"/>
              <w:spacing w:before="65" w:line="228" w:lineRule="auto"/>
              <w:ind w:left="224"/>
              <w:rPr>
                <w:rFonts w:hint="eastAsia"/>
                <w:sz w:val="20"/>
                <w:szCs w:val="20"/>
              </w:rPr>
            </w:pPr>
            <w:r>
              <w:rPr>
                <w:spacing w:val="4"/>
                <w:sz w:val="20"/>
                <w:szCs w:val="20"/>
              </w:rPr>
              <w:t>产地</w:t>
            </w:r>
          </w:p>
        </w:tc>
        <w:tc>
          <w:tcPr>
            <w:tcW w:w="1420" w:type="dxa"/>
          </w:tcPr>
          <w:p w14:paraId="273C2E03">
            <w:pPr>
              <w:spacing w:line="313" w:lineRule="auto"/>
              <w:rPr>
                <w:rFonts w:ascii="Arial"/>
              </w:rPr>
            </w:pPr>
          </w:p>
          <w:p w14:paraId="4ABDE2DC">
            <w:pPr>
              <w:pStyle w:val="90"/>
              <w:spacing w:before="65" w:line="228" w:lineRule="auto"/>
              <w:ind w:left="191"/>
              <w:rPr>
                <w:rFonts w:hint="eastAsia"/>
                <w:sz w:val="20"/>
                <w:szCs w:val="20"/>
              </w:rPr>
            </w:pPr>
            <w:r>
              <w:rPr>
                <w:spacing w:val="7"/>
                <w:sz w:val="20"/>
                <w:szCs w:val="20"/>
              </w:rPr>
              <w:t>制造商名称</w:t>
            </w:r>
          </w:p>
        </w:tc>
        <w:tc>
          <w:tcPr>
            <w:tcW w:w="734" w:type="dxa"/>
          </w:tcPr>
          <w:p w14:paraId="71B4ED7B">
            <w:pPr>
              <w:spacing w:line="313" w:lineRule="auto"/>
              <w:rPr>
                <w:rFonts w:ascii="Arial"/>
              </w:rPr>
            </w:pPr>
          </w:p>
          <w:p w14:paraId="4507868A">
            <w:pPr>
              <w:pStyle w:val="90"/>
              <w:spacing w:before="65" w:line="228" w:lineRule="auto"/>
              <w:ind w:left="167"/>
              <w:rPr>
                <w:rFonts w:hint="eastAsia"/>
                <w:sz w:val="20"/>
                <w:szCs w:val="20"/>
              </w:rPr>
            </w:pPr>
            <w:r>
              <w:rPr>
                <w:spacing w:val="3"/>
                <w:sz w:val="20"/>
                <w:szCs w:val="20"/>
              </w:rPr>
              <w:t>单位</w:t>
            </w:r>
          </w:p>
        </w:tc>
        <w:tc>
          <w:tcPr>
            <w:tcW w:w="734" w:type="dxa"/>
          </w:tcPr>
          <w:p w14:paraId="4CC1238A">
            <w:pPr>
              <w:spacing w:line="313" w:lineRule="auto"/>
              <w:rPr>
                <w:rFonts w:ascii="Arial"/>
              </w:rPr>
            </w:pPr>
          </w:p>
          <w:p w14:paraId="287D42F2">
            <w:pPr>
              <w:pStyle w:val="90"/>
              <w:spacing w:before="65" w:line="228" w:lineRule="auto"/>
              <w:ind w:left="167"/>
              <w:rPr>
                <w:rFonts w:hint="eastAsia"/>
                <w:sz w:val="20"/>
                <w:szCs w:val="20"/>
              </w:rPr>
            </w:pPr>
            <w:r>
              <w:rPr>
                <w:spacing w:val="3"/>
                <w:sz w:val="20"/>
                <w:szCs w:val="20"/>
              </w:rPr>
              <w:t>数量</w:t>
            </w:r>
          </w:p>
        </w:tc>
        <w:tc>
          <w:tcPr>
            <w:tcW w:w="788" w:type="dxa"/>
          </w:tcPr>
          <w:p w14:paraId="687E0146">
            <w:pPr>
              <w:spacing w:line="313" w:lineRule="auto"/>
              <w:rPr>
                <w:rFonts w:ascii="Arial"/>
              </w:rPr>
            </w:pPr>
          </w:p>
          <w:p w14:paraId="4503BF95">
            <w:pPr>
              <w:pStyle w:val="90"/>
              <w:spacing w:before="65" w:line="226" w:lineRule="auto"/>
              <w:ind w:left="194"/>
              <w:rPr>
                <w:rFonts w:hint="eastAsia"/>
                <w:sz w:val="20"/>
                <w:szCs w:val="20"/>
              </w:rPr>
            </w:pPr>
            <w:r>
              <w:rPr>
                <w:spacing w:val="3"/>
                <w:sz w:val="20"/>
                <w:szCs w:val="20"/>
              </w:rPr>
              <w:t>单价</w:t>
            </w:r>
          </w:p>
        </w:tc>
        <w:tc>
          <w:tcPr>
            <w:tcW w:w="773" w:type="dxa"/>
          </w:tcPr>
          <w:p w14:paraId="3BD99936">
            <w:pPr>
              <w:spacing w:line="313" w:lineRule="auto"/>
              <w:rPr>
                <w:rFonts w:ascii="Arial"/>
              </w:rPr>
            </w:pPr>
          </w:p>
          <w:p w14:paraId="25D77D8B">
            <w:pPr>
              <w:pStyle w:val="90"/>
              <w:spacing w:before="65" w:line="226" w:lineRule="auto"/>
              <w:ind w:left="190"/>
              <w:rPr>
                <w:rFonts w:hint="eastAsia"/>
                <w:sz w:val="20"/>
                <w:szCs w:val="20"/>
              </w:rPr>
            </w:pPr>
            <w:r>
              <w:rPr>
                <w:spacing w:val="2"/>
                <w:sz w:val="20"/>
                <w:szCs w:val="20"/>
              </w:rPr>
              <w:t>总价</w:t>
            </w:r>
          </w:p>
        </w:tc>
        <w:tc>
          <w:tcPr>
            <w:tcW w:w="678" w:type="dxa"/>
          </w:tcPr>
          <w:p w14:paraId="56F7F790">
            <w:pPr>
              <w:spacing w:line="313" w:lineRule="auto"/>
              <w:rPr>
                <w:rFonts w:ascii="Arial"/>
              </w:rPr>
            </w:pPr>
          </w:p>
          <w:p w14:paraId="01E146C1">
            <w:pPr>
              <w:pStyle w:val="90"/>
              <w:spacing w:before="65" w:line="229" w:lineRule="auto"/>
              <w:ind w:left="136"/>
              <w:rPr>
                <w:rFonts w:hint="eastAsia"/>
                <w:sz w:val="20"/>
                <w:szCs w:val="20"/>
              </w:rPr>
            </w:pPr>
            <w:r>
              <w:rPr>
                <w:spacing w:val="3"/>
                <w:sz w:val="20"/>
                <w:szCs w:val="20"/>
              </w:rPr>
              <w:t>备注</w:t>
            </w:r>
          </w:p>
        </w:tc>
      </w:tr>
      <w:tr w14:paraId="63B0A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74" w:type="dxa"/>
          </w:tcPr>
          <w:p w14:paraId="28BE0A50">
            <w:pPr>
              <w:spacing w:before="178" w:line="195" w:lineRule="auto"/>
              <w:ind w:left="356"/>
              <w:rPr>
                <w:rFonts w:eastAsia="Times New Roman"/>
                <w:sz w:val="20"/>
                <w:szCs w:val="20"/>
              </w:rPr>
            </w:pPr>
            <w:r>
              <w:rPr>
                <w:rFonts w:eastAsia="Times New Roman"/>
                <w:sz w:val="20"/>
                <w:szCs w:val="20"/>
              </w:rPr>
              <w:t>1</w:t>
            </w:r>
          </w:p>
        </w:tc>
        <w:tc>
          <w:tcPr>
            <w:tcW w:w="1205" w:type="dxa"/>
          </w:tcPr>
          <w:p w14:paraId="1D9E5876">
            <w:pPr>
              <w:rPr>
                <w:rFonts w:ascii="Arial"/>
              </w:rPr>
            </w:pPr>
          </w:p>
        </w:tc>
        <w:tc>
          <w:tcPr>
            <w:tcW w:w="1055" w:type="dxa"/>
          </w:tcPr>
          <w:p w14:paraId="5EB45F96">
            <w:pPr>
              <w:rPr>
                <w:rFonts w:ascii="Arial"/>
              </w:rPr>
            </w:pPr>
          </w:p>
        </w:tc>
        <w:tc>
          <w:tcPr>
            <w:tcW w:w="857" w:type="dxa"/>
          </w:tcPr>
          <w:p w14:paraId="48C3EA96">
            <w:pPr>
              <w:rPr>
                <w:rFonts w:ascii="Arial"/>
              </w:rPr>
            </w:pPr>
          </w:p>
        </w:tc>
        <w:tc>
          <w:tcPr>
            <w:tcW w:w="1420" w:type="dxa"/>
          </w:tcPr>
          <w:p w14:paraId="1F0B6851">
            <w:pPr>
              <w:rPr>
                <w:rFonts w:ascii="Arial"/>
              </w:rPr>
            </w:pPr>
          </w:p>
        </w:tc>
        <w:tc>
          <w:tcPr>
            <w:tcW w:w="734" w:type="dxa"/>
          </w:tcPr>
          <w:p w14:paraId="13ADAD84">
            <w:pPr>
              <w:rPr>
                <w:rFonts w:ascii="Arial"/>
              </w:rPr>
            </w:pPr>
          </w:p>
        </w:tc>
        <w:tc>
          <w:tcPr>
            <w:tcW w:w="734" w:type="dxa"/>
          </w:tcPr>
          <w:p w14:paraId="08E65C60">
            <w:pPr>
              <w:rPr>
                <w:rFonts w:ascii="Arial"/>
              </w:rPr>
            </w:pPr>
          </w:p>
        </w:tc>
        <w:tc>
          <w:tcPr>
            <w:tcW w:w="788" w:type="dxa"/>
          </w:tcPr>
          <w:p w14:paraId="087283EE">
            <w:pPr>
              <w:rPr>
                <w:rFonts w:ascii="Arial"/>
              </w:rPr>
            </w:pPr>
          </w:p>
        </w:tc>
        <w:tc>
          <w:tcPr>
            <w:tcW w:w="773" w:type="dxa"/>
          </w:tcPr>
          <w:p w14:paraId="2C3BE5A7">
            <w:pPr>
              <w:rPr>
                <w:rFonts w:ascii="Arial"/>
              </w:rPr>
            </w:pPr>
          </w:p>
        </w:tc>
        <w:tc>
          <w:tcPr>
            <w:tcW w:w="678" w:type="dxa"/>
          </w:tcPr>
          <w:p w14:paraId="10E6073F">
            <w:pPr>
              <w:rPr>
                <w:rFonts w:ascii="Arial"/>
              </w:rPr>
            </w:pPr>
          </w:p>
        </w:tc>
      </w:tr>
      <w:tr w14:paraId="41BC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74" w:type="dxa"/>
          </w:tcPr>
          <w:p w14:paraId="0BB49AED">
            <w:pPr>
              <w:spacing w:before="179" w:line="195" w:lineRule="auto"/>
              <w:ind w:left="336"/>
              <w:rPr>
                <w:rFonts w:eastAsia="Times New Roman"/>
                <w:sz w:val="20"/>
                <w:szCs w:val="20"/>
              </w:rPr>
            </w:pPr>
            <w:r>
              <w:rPr>
                <w:rFonts w:eastAsia="Times New Roman"/>
                <w:sz w:val="20"/>
                <w:szCs w:val="20"/>
              </w:rPr>
              <w:t>2</w:t>
            </w:r>
          </w:p>
        </w:tc>
        <w:tc>
          <w:tcPr>
            <w:tcW w:w="1205" w:type="dxa"/>
          </w:tcPr>
          <w:p w14:paraId="2AA8375D">
            <w:pPr>
              <w:rPr>
                <w:rFonts w:ascii="Arial"/>
              </w:rPr>
            </w:pPr>
          </w:p>
        </w:tc>
        <w:tc>
          <w:tcPr>
            <w:tcW w:w="1055" w:type="dxa"/>
          </w:tcPr>
          <w:p w14:paraId="1260A648">
            <w:pPr>
              <w:rPr>
                <w:rFonts w:ascii="Arial"/>
              </w:rPr>
            </w:pPr>
          </w:p>
        </w:tc>
        <w:tc>
          <w:tcPr>
            <w:tcW w:w="857" w:type="dxa"/>
          </w:tcPr>
          <w:p w14:paraId="20D7D42D">
            <w:pPr>
              <w:rPr>
                <w:rFonts w:ascii="Arial"/>
              </w:rPr>
            </w:pPr>
          </w:p>
        </w:tc>
        <w:tc>
          <w:tcPr>
            <w:tcW w:w="1420" w:type="dxa"/>
          </w:tcPr>
          <w:p w14:paraId="12F388C9">
            <w:pPr>
              <w:rPr>
                <w:rFonts w:ascii="Arial"/>
              </w:rPr>
            </w:pPr>
          </w:p>
        </w:tc>
        <w:tc>
          <w:tcPr>
            <w:tcW w:w="734" w:type="dxa"/>
          </w:tcPr>
          <w:p w14:paraId="23D3309B">
            <w:pPr>
              <w:rPr>
                <w:rFonts w:ascii="Arial"/>
              </w:rPr>
            </w:pPr>
          </w:p>
        </w:tc>
        <w:tc>
          <w:tcPr>
            <w:tcW w:w="734" w:type="dxa"/>
          </w:tcPr>
          <w:p w14:paraId="77FC7CE0">
            <w:pPr>
              <w:rPr>
                <w:rFonts w:ascii="Arial"/>
              </w:rPr>
            </w:pPr>
          </w:p>
        </w:tc>
        <w:tc>
          <w:tcPr>
            <w:tcW w:w="788" w:type="dxa"/>
          </w:tcPr>
          <w:p w14:paraId="2C4FA406">
            <w:pPr>
              <w:rPr>
                <w:rFonts w:ascii="Arial"/>
              </w:rPr>
            </w:pPr>
          </w:p>
        </w:tc>
        <w:tc>
          <w:tcPr>
            <w:tcW w:w="773" w:type="dxa"/>
          </w:tcPr>
          <w:p w14:paraId="06543D65">
            <w:pPr>
              <w:rPr>
                <w:rFonts w:ascii="Arial"/>
              </w:rPr>
            </w:pPr>
          </w:p>
        </w:tc>
        <w:tc>
          <w:tcPr>
            <w:tcW w:w="678" w:type="dxa"/>
          </w:tcPr>
          <w:p w14:paraId="68C3FC8B">
            <w:pPr>
              <w:rPr>
                <w:rFonts w:ascii="Arial"/>
              </w:rPr>
            </w:pPr>
          </w:p>
        </w:tc>
      </w:tr>
      <w:tr w14:paraId="6EF01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74" w:type="dxa"/>
          </w:tcPr>
          <w:p w14:paraId="6F8F2A76">
            <w:pPr>
              <w:spacing w:before="180" w:line="195" w:lineRule="auto"/>
              <w:ind w:left="340"/>
              <w:rPr>
                <w:rFonts w:eastAsia="Times New Roman"/>
                <w:sz w:val="20"/>
                <w:szCs w:val="20"/>
              </w:rPr>
            </w:pPr>
            <w:r>
              <w:rPr>
                <w:rFonts w:eastAsia="Times New Roman"/>
                <w:sz w:val="20"/>
                <w:szCs w:val="20"/>
              </w:rPr>
              <w:t>3</w:t>
            </w:r>
          </w:p>
        </w:tc>
        <w:tc>
          <w:tcPr>
            <w:tcW w:w="1205" w:type="dxa"/>
          </w:tcPr>
          <w:p w14:paraId="625CD857">
            <w:pPr>
              <w:rPr>
                <w:rFonts w:ascii="Arial"/>
              </w:rPr>
            </w:pPr>
          </w:p>
        </w:tc>
        <w:tc>
          <w:tcPr>
            <w:tcW w:w="1055" w:type="dxa"/>
          </w:tcPr>
          <w:p w14:paraId="1EE47BF7">
            <w:pPr>
              <w:rPr>
                <w:rFonts w:ascii="Arial"/>
              </w:rPr>
            </w:pPr>
          </w:p>
        </w:tc>
        <w:tc>
          <w:tcPr>
            <w:tcW w:w="857" w:type="dxa"/>
          </w:tcPr>
          <w:p w14:paraId="3E747DF5">
            <w:pPr>
              <w:rPr>
                <w:rFonts w:ascii="Arial"/>
              </w:rPr>
            </w:pPr>
          </w:p>
        </w:tc>
        <w:tc>
          <w:tcPr>
            <w:tcW w:w="1420" w:type="dxa"/>
          </w:tcPr>
          <w:p w14:paraId="161107EF">
            <w:pPr>
              <w:rPr>
                <w:rFonts w:ascii="Arial"/>
              </w:rPr>
            </w:pPr>
          </w:p>
        </w:tc>
        <w:tc>
          <w:tcPr>
            <w:tcW w:w="734" w:type="dxa"/>
          </w:tcPr>
          <w:p w14:paraId="266A0CD4">
            <w:pPr>
              <w:rPr>
                <w:rFonts w:ascii="Arial"/>
              </w:rPr>
            </w:pPr>
          </w:p>
        </w:tc>
        <w:tc>
          <w:tcPr>
            <w:tcW w:w="734" w:type="dxa"/>
          </w:tcPr>
          <w:p w14:paraId="4D7AF2E9">
            <w:pPr>
              <w:rPr>
                <w:rFonts w:ascii="Arial"/>
              </w:rPr>
            </w:pPr>
          </w:p>
        </w:tc>
        <w:tc>
          <w:tcPr>
            <w:tcW w:w="788" w:type="dxa"/>
          </w:tcPr>
          <w:p w14:paraId="00C5C2F1">
            <w:pPr>
              <w:rPr>
                <w:rFonts w:ascii="Arial"/>
              </w:rPr>
            </w:pPr>
          </w:p>
        </w:tc>
        <w:tc>
          <w:tcPr>
            <w:tcW w:w="773" w:type="dxa"/>
          </w:tcPr>
          <w:p w14:paraId="3DD4596A">
            <w:pPr>
              <w:rPr>
                <w:rFonts w:ascii="Arial"/>
              </w:rPr>
            </w:pPr>
          </w:p>
        </w:tc>
        <w:tc>
          <w:tcPr>
            <w:tcW w:w="678" w:type="dxa"/>
          </w:tcPr>
          <w:p w14:paraId="16770463">
            <w:pPr>
              <w:rPr>
                <w:rFonts w:ascii="Arial"/>
              </w:rPr>
            </w:pPr>
          </w:p>
        </w:tc>
      </w:tr>
      <w:tr w14:paraId="48370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74" w:type="dxa"/>
          </w:tcPr>
          <w:p w14:paraId="0BA91DE2">
            <w:pPr>
              <w:spacing w:before="180" w:line="195" w:lineRule="auto"/>
              <w:ind w:left="335"/>
              <w:rPr>
                <w:rFonts w:eastAsia="Times New Roman"/>
                <w:sz w:val="20"/>
                <w:szCs w:val="20"/>
              </w:rPr>
            </w:pPr>
            <w:r>
              <w:rPr>
                <w:rFonts w:eastAsia="Times New Roman"/>
                <w:spacing w:val="1"/>
                <w:sz w:val="20"/>
                <w:szCs w:val="20"/>
              </w:rPr>
              <w:t>4</w:t>
            </w:r>
          </w:p>
        </w:tc>
        <w:tc>
          <w:tcPr>
            <w:tcW w:w="1205" w:type="dxa"/>
          </w:tcPr>
          <w:p w14:paraId="71EC309A">
            <w:pPr>
              <w:rPr>
                <w:rFonts w:ascii="Arial"/>
              </w:rPr>
            </w:pPr>
          </w:p>
        </w:tc>
        <w:tc>
          <w:tcPr>
            <w:tcW w:w="1055" w:type="dxa"/>
          </w:tcPr>
          <w:p w14:paraId="0D118B6B">
            <w:pPr>
              <w:rPr>
                <w:rFonts w:ascii="Arial"/>
              </w:rPr>
            </w:pPr>
          </w:p>
        </w:tc>
        <w:tc>
          <w:tcPr>
            <w:tcW w:w="857" w:type="dxa"/>
          </w:tcPr>
          <w:p w14:paraId="751E4AEE">
            <w:pPr>
              <w:rPr>
                <w:rFonts w:ascii="Arial"/>
              </w:rPr>
            </w:pPr>
          </w:p>
        </w:tc>
        <w:tc>
          <w:tcPr>
            <w:tcW w:w="1420" w:type="dxa"/>
          </w:tcPr>
          <w:p w14:paraId="262D7C1B">
            <w:pPr>
              <w:rPr>
                <w:rFonts w:ascii="Arial"/>
              </w:rPr>
            </w:pPr>
          </w:p>
        </w:tc>
        <w:tc>
          <w:tcPr>
            <w:tcW w:w="734" w:type="dxa"/>
          </w:tcPr>
          <w:p w14:paraId="39FEE429">
            <w:pPr>
              <w:rPr>
                <w:rFonts w:ascii="Arial"/>
              </w:rPr>
            </w:pPr>
          </w:p>
        </w:tc>
        <w:tc>
          <w:tcPr>
            <w:tcW w:w="734" w:type="dxa"/>
          </w:tcPr>
          <w:p w14:paraId="0283D642">
            <w:pPr>
              <w:rPr>
                <w:rFonts w:ascii="Arial"/>
              </w:rPr>
            </w:pPr>
          </w:p>
        </w:tc>
        <w:tc>
          <w:tcPr>
            <w:tcW w:w="788" w:type="dxa"/>
          </w:tcPr>
          <w:p w14:paraId="16BF61E5">
            <w:pPr>
              <w:rPr>
                <w:rFonts w:ascii="Arial"/>
              </w:rPr>
            </w:pPr>
          </w:p>
        </w:tc>
        <w:tc>
          <w:tcPr>
            <w:tcW w:w="773" w:type="dxa"/>
          </w:tcPr>
          <w:p w14:paraId="471B3F59">
            <w:pPr>
              <w:rPr>
                <w:rFonts w:ascii="Arial"/>
              </w:rPr>
            </w:pPr>
          </w:p>
        </w:tc>
        <w:tc>
          <w:tcPr>
            <w:tcW w:w="678" w:type="dxa"/>
          </w:tcPr>
          <w:p w14:paraId="7B5A09CD">
            <w:pPr>
              <w:rPr>
                <w:rFonts w:ascii="Arial"/>
              </w:rPr>
            </w:pPr>
          </w:p>
        </w:tc>
      </w:tr>
      <w:tr w14:paraId="249C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74" w:type="dxa"/>
          </w:tcPr>
          <w:p w14:paraId="0127622B">
            <w:pPr>
              <w:spacing w:before="182" w:line="192" w:lineRule="auto"/>
              <w:ind w:left="342"/>
              <w:rPr>
                <w:rFonts w:eastAsia="Times New Roman"/>
                <w:sz w:val="20"/>
                <w:szCs w:val="20"/>
              </w:rPr>
            </w:pPr>
            <w:r>
              <w:rPr>
                <w:rFonts w:eastAsia="Times New Roman"/>
                <w:sz w:val="20"/>
                <w:szCs w:val="20"/>
              </w:rPr>
              <w:t>5</w:t>
            </w:r>
          </w:p>
        </w:tc>
        <w:tc>
          <w:tcPr>
            <w:tcW w:w="1205" w:type="dxa"/>
          </w:tcPr>
          <w:p w14:paraId="5EEDB1FC">
            <w:pPr>
              <w:rPr>
                <w:rFonts w:ascii="Arial"/>
              </w:rPr>
            </w:pPr>
          </w:p>
        </w:tc>
        <w:tc>
          <w:tcPr>
            <w:tcW w:w="1055" w:type="dxa"/>
          </w:tcPr>
          <w:p w14:paraId="5FD1EA63">
            <w:pPr>
              <w:rPr>
                <w:rFonts w:ascii="Arial"/>
              </w:rPr>
            </w:pPr>
          </w:p>
        </w:tc>
        <w:tc>
          <w:tcPr>
            <w:tcW w:w="857" w:type="dxa"/>
          </w:tcPr>
          <w:p w14:paraId="1319B51B">
            <w:pPr>
              <w:rPr>
                <w:rFonts w:ascii="Arial"/>
              </w:rPr>
            </w:pPr>
          </w:p>
        </w:tc>
        <w:tc>
          <w:tcPr>
            <w:tcW w:w="1420" w:type="dxa"/>
          </w:tcPr>
          <w:p w14:paraId="5C4577D1">
            <w:pPr>
              <w:rPr>
                <w:rFonts w:ascii="Arial"/>
              </w:rPr>
            </w:pPr>
          </w:p>
        </w:tc>
        <w:tc>
          <w:tcPr>
            <w:tcW w:w="734" w:type="dxa"/>
          </w:tcPr>
          <w:p w14:paraId="701270CD">
            <w:pPr>
              <w:rPr>
                <w:rFonts w:ascii="Arial"/>
              </w:rPr>
            </w:pPr>
          </w:p>
        </w:tc>
        <w:tc>
          <w:tcPr>
            <w:tcW w:w="734" w:type="dxa"/>
          </w:tcPr>
          <w:p w14:paraId="0E7E6D8C">
            <w:pPr>
              <w:rPr>
                <w:rFonts w:ascii="Arial"/>
              </w:rPr>
            </w:pPr>
          </w:p>
        </w:tc>
        <w:tc>
          <w:tcPr>
            <w:tcW w:w="788" w:type="dxa"/>
          </w:tcPr>
          <w:p w14:paraId="233D5E1E">
            <w:pPr>
              <w:rPr>
                <w:rFonts w:ascii="Arial"/>
              </w:rPr>
            </w:pPr>
          </w:p>
        </w:tc>
        <w:tc>
          <w:tcPr>
            <w:tcW w:w="773" w:type="dxa"/>
          </w:tcPr>
          <w:p w14:paraId="0450589A">
            <w:pPr>
              <w:rPr>
                <w:rFonts w:ascii="Arial"/>
              </w:rPr>
            </w:pPr>
          </w:p>
        </w:tc>
        <w:tc>
          <w:tcPr>
            <w:tcW w:w="678" w:type="dxa"/>
          </w:tcPr>
          <w:p w14:paraId="1963CC29">
            <w:pPr>
              <w:rPr>
                <w:rFonts w:ascii="Arial"/>
              </w:rPr>
            </w:pPr>
          </w:p>
        </w:tc>
      </w:tr>
      <w:tr w14:paraId="2257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74" w:type="dxa"/>
          </w:tcPr>
          <w:p w14:paraId="11CEE616">
            <w:pPr>
              <w:spacing w:before="187" w:line="195" w:lineRule="auto"/>
              <w:ind w:left="341"/>
              <w:rPr>
                <w:rFonts w:eastAsia="Times New Roman"/>
                <w:sz w:val="20"/>
                <w:szCs w:val="20"/>
              </w:rPr>
            </w:pPr>
            <w:r>
              <w:rPr>
                <w:rFonts w:eastAsia="Times New Roman"/>
                <w:sz w:val="20"/>
                <w:szCs w:val="20"/>
              </w:rPr>
              <w:t>6</w:t>
            </w:r>
          </w:p>
        </w:tc>
        <w:tc>
          <w:tcPr>
            <w:tcW w:w="1205" w:type="dxa"/>
          </w:tcPr>
          <w:p w14:paraId="495D9B2E">
            <w:pPr>
              <w:rPr>
                <w:rFonts w:ascii="Arial"/>
              </w:rPr>
            </w:pPr>
          </w:p>
        </w:tc>
        <w:tc>
          <w:tcPr>
            <w:tcW w:w="1055" w:type="dxa"/>
          </w:tcPr>
          <w:p w14:paraId="27170E9A">
            <w:pPr>
              <w:rPr>
                <w:rFonts w:ascii="Arial"/>
              </w:rPr>
            </w:pPr>
          </w:p>
        </w:tc>
        <w:tc>
          <w:tcPr>
            <w:tcW w:w="857" w:type="dxa"/>
          </w:tcPr>
          <w:p w14:paraId="3A97EA16">
            <w:pPr>
              <w:rPr>
                <w:rFonts w:ascii="Arial"/>
              </w:rPr>
            </w:pPr>
          </w:p>
        </w:tc>
        <w:tc>
          <w:tcPr>
            <w:tcW w:w="1420" w:type="dxa"/>
          </w:tcPr>
          <w:p w14:paraId="70FC140C">
            <w:pPr>
              <w:rPr>
                <w:rFonts w:ascii="Arial"/>
              </w:rPr>
            </w:pPr>
          </w:p>
        </w:tc>
        <w:tc>
          <w:tcPr>
            <w:tcW w:w="734" w:type="dxa"/>
          </w:tcPr>
          <w:p w14:paraId="119A0A32">
            <w:pPr>
              <w:rPr>
                <w:rFonts w:ascii="Arial"/>
              </w:rPr>
            </w:pPr>
          </w:p>
        </w:tc>
        <w:tc>
          <w:tcPr>
            <w:tcW w:w="734" w:type="dxa"/>
          </w:tcPr>
          <w:p w14:paraId="5D85E120">
            <w:pPr>
              <w:rPr>
                <w:rFonts w:ascii="Arial"/>
              </w:rPr>
            </w:pPr>
          </w:p>
        </w:tc>
        <w:tc>
          <w:tcPr>
            <w:tcW w:w="788" w:type="dxa"/>
          </w:tcPr>
          <w:p w14:paraId="741A74F8">
            <w:pPr>
              <w:rPr>
                <w:rFonts w:ascii="Arial"/>
              </w:rPr>
            </w:pPr>
          </w:p>
        </w:tc>
        <w:tc>
          <w:tcPr>
            <w:tcW w:w="773" w:type="dxa"/>
          </w:tcPr>
          <w:p w14:paraId="360640F6">
            <w:pPr>
              <w:rPr>
                <w:rFonts w:ascii="Arial"/>
              </w:rPr>
            </w:pPr>
          </w:p>
        </w:tc>
        <w:tc>
          <w:tcPr>
            <w:tcW w:w="678" w:type="dxa"/>
          </w:tcPr>
          <w:p w14:paraId="28F6E261">
            <w:pPr>
              <w:rPr>
                <w:rFonts w:ascii="Arial"/>
              </w:rPr>
            </w:pPr>
          </w:p>
        </w:tc>
      </w:tr>
      <w:tr w14:paraId="60CB8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74" w:type="dxa"/>
          </w:tcPr>
          <w:p w14:paraId="0D52C8E3">
            <w:pPr>
              <w:spacing w:line="250" w:lineRule="auto"/>
              <w:rPr>
                <w:rFonts w:ascii="Arial"/>
              </w:rPr>
            </w:pPr>
          </w:p>
          <w:p w14:paraId="3BF15F44">
            <w:pPr>
              <w:spacing w:before="58" w:line="63" w:lineRule="exact"/>
              <w:ind w:left="320"/>
              <w:rPr>
                <w:rFonts w:eastAsia="Times New Roman"/>
                <w:sz w:val="20"/>
                <w:szCs w:val="20"/>
              </w:rPr>
            </w:pPr>
            <w:r>
              <w:rPr>
                <w:rFonts w:eastAsia="Times New Roman"/>
                <w:spacing w:val="1"/>
                <w:position w:val="1"/>
                <w:sz w:val="20"/>
                <w:szCs w:val="20"/>
              </w:rPr>
              <w:t>...</w:t>
            </w:r>
          </w:p>
        </w:tc>
        <w:tc>
          <w:tcPr>
            <w:tcW w:w="1205" w:type="dxa"/>
          </w:tcPr>
          <w:p w14:paraId="35E09363">
            <w:pPr>
              <w:spacing w:line="250" w:lineRule="auto"/>
              <w:rPr>
                <w:rFonts w:ascii="Arial"/>
              </w:rPr>
            </w:pPr>
          </w:p>
          <w:p w14:paraId="03831516">
            <w:pPr>
              <w:spacing w:before="58" w:line="63" w:lineRule="exact"/>
              <w:ind w:left="535"/>
              <w:rPr>
                <w:rFonts w:eastAsia="Times New Roman"/>
                <w:sz w:val="20"/>
                <w:szCs w:val="20"/>
              </w:rPr>
            </w:pPr>
            <w:r>
              <w:rPr>
                <w:rFonts w:eastAsia="Times New Roman"/>
                <w:spacing w:val="1"/>
                <w:position w:val="1"/>
                <w:sz w:val="20"/>
                <w:szCs w:val="20"/>
              </w:rPr>
              <w:t>...</w:t>
            </w:r>
          </w:p>
        </w:tc>
        <w:tc>
          <w:tcPr>
            <w:tcW w:w="1055" w:type="dxa"/>
          </w:tcPr>
          <w:p w14:paraId="56CC917B">
            <w:pPr>
              <w:spacing w:line="250" w:lineRule="auto"/>
              <w:rPr>
                <w:rFonts w:ascii="Arial"/>
              </w:rPr>
            </w:pPr>
          </w:p>
          <w:p w14:paraId="00F60723">
            <w:pPr>
              <w:spacing w:before="58" w:line="63" w:lineRule="exact"/>
              <w:ind w:left="460"/>
              <w:rPr>
                <w:rFonts w:eastAsia="Times New Roman"/>
                <w:sz w:val="20"/>
                <w:szCs w:val="20"/>
              </w:rPr>
            </w:pPr>
            <w:r>
              <w:rPr>
                <w:rFonts w:eastAsia="Times New Roman"/>
                <w:spacing w:val="1"/>
                <w:position w:val="1"/>
                <w:sz w:val="20"/>
                <w:szCs w:val="20"/>
              </w:rPr>
              <w:t>...</w:t>
            </w:r>
          </w:p>
        </w:tc>
        <w:tc>
          <w:tcPr>
            <w:tcW w:w="857" w:type="dxa"/>
          </w:tcPr>
          <w:p w14:paraId="797C68F5">
            <w:pPr>
              <w:spacing w:line="250" w:lineRule="auto"/>
              <w:rPr>
                <w:rFonts w:ascii="Arial"/>
              </w:rPr>
            </w:pPr>
          </w:p>
          <w:p w14:paraId="34D37565">
            <w:pPr>
              <w:spacing w:before="58" w:line="63" w:lineRule="exact"/>
              <w:ind w:left="363"/>
              <w:rPr>
                <w:rFonts w:eastAsia="Times New Roman"/>
                <w:sz w:val="20"/>
                <w:szCs w:val="20"/>
              </w:rPr>
            </w:pPr>
            <w:r>
              <w:rPr>
                <w:rFonts w:eastAsia="Times New Roman"/>
                <w:spacing w:val="1"/>
                <w:position w:val="1"/>
                <w:sz w:val="20"/>
                <w:szCs w:val="20"/>
              </w:rPr>
              <w:t>...</w:t>
            </w:r>
          </w:p>
        </w:tc>
        <w:tc>
          <w:tcPr>
            <w:tcW w:w="1420" w:type="dxa"/>
          </w:tcPr>
          <w:p w14:paraId="2F4B6268">
            <w:pPr>
              <w:spacing w:line="250" w:lineRule="auto"/>
              <w:rPr>
                <w:rFonts w:ascii="Arial"/>
              </w:rPr>
            </w:pPr>
          </w:p>
          <w:p w14:paraId="7A0B0AE4">
            <w:pPr>
              <w:spacing w:before="58" w:line="63" w:lineRule="exact"/>
              <w:ind w:left="644"/>
              <w:rPr>
                <w:rFonts w:eastAsia="Times New Roman"/>
                <w:sz w:val="20"/>
                <w:szCs w:val="20"/>
              </w:rPr>
            </w:pPr>
            <w:r>
              <w:rPr>
                <w:rFonts w:eastAsia="Times New Roman"/>
                <w:spacing w:val="1"/>
                <w:position w:val="1"/>
                <w:sz w:val="20"/>
                <w:szCs w:val="20"/>
              </w:rPr>
              <w:t>...</w:t>
            </w:r>
          </w:p>
        </w:tc>
        <w:tc>
          <w:tcPr>
            <w:tcW w:w="734" w:type="dxa"/>
          </w:tcPr>
          <w:p w14:paraId="14ADC83D">
            <w:pPr>
              <w:spacing w:line="250" w:lineRule="auto"/>
              <w:rPr>
                <w:rFonts w:ascii="Arial"/>
              </w:rPr>
            </w:pPr>
          </w:p>
          <w:p w14:paraId="69E785ED">
            <w:pPr>
              <w:spacing w:before="58" w:line="63" w:lineRule="exact"/>
              <w:ind w:left="301"/>
              <w:rPr>
                <w:rFonts w:eastAsia="Times New Roman"/>
                <w:sz w:val="20"/>
                <w:szCs w:val="20"/>
              </w:rPr>
            </w:pPr>
            <w:r>
              <w:rPr>
                <w:rFonts w:eastAsia="Times New Roman"/>
                <w:spacing w:val="1"/>
                <w:position w:val="1"/>
                <w:sz w:val="20"/>
                <w:szCs w:val="20"/>
              </w:rPr>
              <w:t>...</w:t>
            </w:r>
          </w:p>
        </w:tc>
        <w:tc>
          <w:tcPr>
            <w:tcW w:w="734" w:type="dxa"/>
          </w:tcPr>
          <w:p w14:paraId="7209D705">
            <w:pPr>
              <w:spacing w:line="250" w:lineRule="auto"/>
              <w:rPr>
                <w:rFonts w:ascii="Arial"/>
              </w:rPr>
            </w:pPr>
          </w:p>
          <w:p w14:paraId="7E8AD9AB">
            <w:pPr>
              <w:spacing w:before="58" w:line="63" w:lineRule="exact"/>
              <w:ind w:left="302"/>
              <w:rPr>
                <w:rFonts w:eastAsia="Times New Roman"/>
                <w:sz w:val="20"/>
                <w:szCs w:val="20"/>
              </w:rPr>
            </w:pPr>
            <w:r>
              <w:rPr>
                <w:rFonts w:eastAsia="Times New Roman"/>
                <w:spacing w:val="1"/>
                <w:position w:val="1"/>
                <w:sz w:val="20"/>
                <w:szCs w:val="20"/>
              </w:rPr>
              <w:t>...</w:t>
            </w:r>
          </w:p>
        </w:tc>
        <w:tc>
          <w:tcPr>
            <w:tcW w:w="788" w:type="dxa"/>
          </w:tcPr>
          <w:p w14:paraId="2FCD62E4">
            <w:pPr>
              <w:spacing w:line="250" w:lineRule="auto"/>
              <w:rPr>
                <w:rFonts w:ascii="Arial"/>
              </w:rPr>
            </w:pPr>
          </w:p>
          <w:p w14:paraId="7557A2B6">
            <w:pPr>
              <w:spacing w:before="58" w:line="63" w:lineRule="exact"/>
              <w:ind w:left="328"/>
              <w:rPr>
                <w:rFonts w:eastAsia="Times New Roman"/>
                <w:sz w:val="20"/>
                <w:szCs w:val="20"/>
              </w:rPr>
            </w:pPr>
            <w:r>
              <w:rPr>
                <w:rFonts w:eastAsia="Times New Roman"/>
                <w:spacing w:val="1"/>
                <w:position w:val="1"/>
                <w:sz w:val="20"/>
                <w:szCs w:val="20"/>
              </w:rPr>
              <w:t>...</w:t>
            </w:r>
          </w:p>
        </w:tc>
        <w:tc>
          <w:tcPr>
            <w:tcW w:w="773" w:type="dxa"/>
          </w:tcPr>
          <w:p w14:paraId="3E0A10CF">
            <w:pPr>
              <w:spacing w:line="250" w:lineRule="auto"/>
              <w:rPr>
                <w:rFonts w:ascii="Arial"/>
              </w:rPr>
            </w:pPr>
          </w:p>
          <w:p w14:paraId="2333B63C">
            <w:pPr>
              <w:spacing w:before="58" w:line="63" w:lineRule="exact"/>
              <w:ind w:left="320"/>
              <w:rPr>
                <w:rFonts w:eastAsia="Times New Roman"/>
                <w:sz w:val="20"/>
                <w:szCs w:val="20"/>
              </w:rPr>
            </w:pPr>
            <w:r>
              <w:rPr>
                <w:rFonts w:eastAsia="Times New Roman"/>
                <w:spacing w:val="1"/>
                <w:position w:val="1"/>
                <w:sz w:val="20"/>
                <w:szCs w:val="20"/>
              </w:rPr>
              <w:t>...</w:t>
            </w:r>
          </w:p>
        </w:tc>
        <w:tc>
          <w:tcPr>
            <w:tcW w:w="678" w:type="dxa"/>
          </w:tcPr>
          <w:p w14:paraId="11E2D7E4">
            <w:pPr>
              <w:spacing w:line="250" w:lineRule="auto"/>
              <w:rPr>
                <w:rFonts w:ascii="Arial"/>
              </w:rPr>
            </w:pPr>
          </w:p>
          <w:p w14:paraId="4681133B">
            <w:pPr>
              <w:spacing w:before="58" w:line="63" w:lineRule="exact"/>
              <w:ind w:left="272"/>
              <w:rPr>
                <w:rFonts w:eastAsia="Times New Roman"/>
                <w:sz w:val="20"/>
                <w:szCs w:val="20"/>
              </w:rPr>
            </w:pPr>
            <w:r>
              <w:rPr>
                <w:rFonts w:eastAsia="Times New Roman"/>
                <w:spacing w:val="1"/>
                <w:position w:val="1"/>
                <w:sz w:val="20"/>
                <w:szCs w:val="20"/>
              </w:rPr>
              <w:t>...</w:t>
            </w:r>
          </w:p>
        </w:tc>
      </w:tr>
    </w:tbl>
    <w:p w14:paraId="7B83FF48">
      <w:pPr>
        <w:spacing w:before="144" w:line="219" w:lineRule="auto"/>
        <w:ind w:left="12"/>
        <w:rPr>
          <w:rFonts w:hint="eastAsia" w:ascii="宋体" w:hAnsi="宋体" w:cs="宋体"/>
          <w:sz w:val="24"/>
          <w:szCs w:val="24"/>
        </w:rPr>
      </w:pPr>
      <w:r>
        <w:rPr>
          <w:rFonts w:ascii="宋体" w:hAnsi="宋体" w:cs="宋体"/>
          <w:spacing w:val="-5"/>
          <w:sz w:val="24"/>
          <w:szCs w:val="24"/>
        </w:rPr>
        <w:t>说明：</w:t>
      </w:r>
    </w:p>
    <w:p w14:paraId="11E57049">
      <w:pPr>
        <w:spacing w:before="26" w:line="205" w:lineRule="auto"/>
        <w:ind w:left="28"/>
        <w:rPr>
          <w:rFonts w:hint="eastAsia" w:ascii="宋体" w:hAnsi="宋体" w:cs="宋体"/>
          <w:sz w:val="24"/>
          <w:szCs w:val="24"/>
        </w:rPr>
      </w:pPr>
      <w:r>
        <w:rPr>
          <w:rFonts w:eastAsia="Times New Roman"/>
          <w:spacing w:val="-2"/>
          <w:sz w:val="24"/>
          <w:szCs w:val="24"/>
        </w:rPr>
        <w:t>1</w:t>
      </w:r>
      <w:r>
        <w:rPr>
          <w:rFonts w:eastAsia="Times New Roman"/>
          <w:spacing w:val="-34"/>
          <w:sz w:val="24"/>
          <w:szCs w:val="24"/>
        </w:rPr>
        <w:t xml:space="preserve"> </w:t>
      </w:r>
      <w:r>
        <w:rPr>
          <w:rFonts w:ascii="宋体" w:hAnsi="宋体" w:cs="宋体"/>
          <w:spacing w:val="-2"/>
          <w:sz w:val="24"/>
          <w:szCs w:val="24"/>
        </w:rPr>
        <w:t>、 分项报价合计金额应与投标函及附录中投标报价一</w:t>
      </w:r>
      <w:r>
        <w:rPr>
          <w:rFonts w:ascii="宋体" w:hAnsi="宋体" w:cs="宋体"/>
          <w:spacing w:val="-3"/>
          <w:sz w:val="24"/>
          <w:szCs w:val="24"/>
        </w:rPr>
        <w:t>致。</w:t>
      </w:r>
    </w:p>
    <w:p w14:paraId="2A114F34">
      <w:pPr>
        <w:spacing w:line="322" w:lineRule="exact"/>
        <w:ind w:left="5"/>
        <w:rPr>
          <w:rFonts w:hint="eastAsia" w:ascii="宋体" w:hAnsi="宋体" w:cs="宋体"/>
          <w:sz w:val="24"/>
          <w:szCs w:val="24"/>
        </w:rPr>
      </w:pPr>
      <w:r>
        <w:rPr>
          <w:rFonts w:eastAsia="Times New Roman"/>
          <w:spacing w:val="-3"/>
          <w:position w:val="1"/>
          <w:sz w:val="24"/>
          <w:szCs w:val="24"/>
        </w:rPr>
        <w:t>2</w:t>
      </w:r>
      <w:r>
        <w:rPr>
          <w:rFonts w:eastAsia="Times New Roman"/>
          <w:spacing w:val="-25"/>
          <w:position w:val="1"/>
          <w:sz w:val="24"/>
          <w:szCs w:val="24"/>
        </w:rPr>
        <w:t xml:space="preserve"> </w:t>
      </w:r>
      <w:r>
        <w:rPr>
          <w:rFonts w:ascii="宋体" w:hAnsi="宋体" w:cs="宋体"/>
          <w:spacing w:val="-3"/>
          <w:position w:val="1"/>
          <w:sz w:val="24"/>
          <w:szCs w:val="24"/>
        </w:rPr>
        <w:t>、 本表中总价</w:t>
      </w:r>
      <w:r>
        <w:rPr>
          <w:rFonts w:eastAsia="Times New Roman"/>
          <w:spacing w:val="-3"/>
          <w:position w:val="1"/>
          <w:sz w:val="24"/>
          <w:szCs w:val="24"/>
        </w:rPr>
        <w:t>=</w:t>
      </w:r>
      <w:r>
        <w:rPr>
          <w:rFonts w:ascii="宋体" w:hAnsi="宋体" w:cs="宋体"/>
          <w:spacing w:val="-3"/>
          <w:position w:val="1"/>
          <w:sz w:val="24"/>
          <w:szCs w:val="24"/>
        </w:rPr>
        <w:t>单价</w:t>
      </w:r>
      <w:r>
        <w:rPr>
          <w:rFonts w:eastAsia="Times New Roman"/>
          <w:spacing w:val="-3"/>
          <w:position w:val="1"/>
          <w:sz w:val="24"/>
          <w:szCs w:val="24"/>
        </w:rPr>
        <w:t>*</w:t>
      </w:r>
      <w:r>
        <w:rPr>
          <w:rFonts w:ascii="宋体" w:hAnsi="宋体" w:cs="宋体"/>
          <w:spacing w:val="-3"/>
          <w:position w:val="1"/>
          <w:sz w:val="24"/>
          <w:szCs w:val="24"/>
        </w:rPr>
        <w:t>数量</w:t>
      </w:r>
    </w:p>
    <w:p w14:paraId="75183795">
      <w:pPr>
        <w:spacing w:before="34" w:line="230" w:lineRule="auto"/>
        <w:ind w:left="9" w:right="142"/>
        <w:rPr>
          <w:rFonts w:hint="eastAsia" w:ascii="宋体" w:hAnsi="宋体" w:cs="宋体"/>
          <w:sz w:val="24"/>
          <w:szCs w:val="24"/>
        </w:rPr>
      </w:pPr>
      <w:r>
        <w:rPr>
          <w:rFonts w:eastAsia="Times New Roman"/>
          <w:spacing w:val="-3"/>
          <w:sz w:val="24"/>
          <w:szCs w:val="24"/>
        </w:rPr>
        <w:t>3</w:t>
      </w:r>
      <w:r>
        <w:rPr>
          <w:rFonts w:eastAsia="Times New Roman"/>
          <w:spacing w:val="-34"/>
          <w:sz w:val="24"/>
          <w:szCs w:val="24"/>
        </w:rPr>
        <w:t xml:space="preserve"> </w:t>
      </w:r>
      <w:r>
        <w:rPr>
          <w:rFonts w:ascii="宋体" w:hAnsi="宋体" w:cs="宋体"/>
          <w:spacing w:val="-3"/>
          <w:sz w:val="24"/>
          <w:szCs w:val="24"/>
        </w:rPr>
        <w:t>、 根据格式填报报价明细，本报价含供应商完成本项目所须的所有费用，表格不</w:t>
      </w:r>
      <w:r>
        <w:rPr>
          <w:rFonts w:ascii="宋体" w:hAnsi="宋体" w:cs="宋体"/>
          <w:spacing w:val="-4"/>
          <w:sz w:val="24"/>
          <w:szCs w:val="24"/>
        </w:rPr>
        <w:t>够可自行添</w:t>
      </w:r>
      <w:r>
        <w:rPr>
          <w:rFonts w:ascii="宋体" w:hAnsi="宋体" w:cs="宋体"/>
          <w:sz w:val="24"/>
          <w:szCs w:val="24"/>
        </w:rPr>
        <w:t xml:space="preserve"> </w:t>
      </w:r>
      <w:r>
        <w:rPr>
          <w:rFonts w:ascii="宋体" w:hAnsi="宋体" w:cs="宋体"/>
          <w:spacing w:val="-3"/>
          <w:sz w:val="24"/>
          <w:szCs w:val="24"/>
        </w:rPr>
        <w:t>加修改。</w:t>
      </w:r>
    </w:p>
    <w:p w14:paraId="3D194A16">
      <w:pPr>
        <w:pStyle w:val="10"/>
        <w:spacing w:line="399" w:lineRule="auto"/>
      </w:pPr>
    </w:p>
    <w:p w14:paraId="0E3C0AAF">
      <w:pPr>
        <w:spacing w:before="78" w:line="219" w:lineRule="auto"/>
        <w:ind w:left="9"/>
        <w:rPr>
          <w:rFonts w:hint="eastAsia" w:ascii="宋体" w:hAnsi="宋体" w:cs="宋体"/>
          <w:sz w:val="24"/>
          <w:szCs w:val="24"/>
        </w:rPr>
      </w:pPr>
      <w:r>
        <w:rPr>
          <w:rFonts w:ascii="宋体" w:hAnsi="宋体" w:cs="宋体"/>
          <w:spacing w:val="3"/>
          <w:sz w:val="24"/>
          <w:szCs w:val="24"/>
        </w:rPr>
        <w:t>供应商</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3"/>
          <w:sz w:val="24"/>
          <w:szCs w:val="24"/>
        </w:rPr>
        <w:t>电子章）</w:t>
      </w:r>
    </w:p>
    <w:p w14:paraId="30728323">
      <w:pPr>
        <w:spacing w:before="196" w:line="219" w:lineRule="auto"/>
        <w:ind w:left="10"/>
        <w:rPr>
          <w:rFonts w:hint="eastAsia" w:ascii="宋体" w:hAnsi="宋体" w:cs="宋体"/>
          <w:sz w:val="24"/>
          <w:szCs w:val="24"/>
        </w:rPr>
      </w:pPr>
      <w:r>
        <w:rPr>
          <w:rFonts w:ascii="宋体" w:hAnsi="宋体" w:cs="宋体"/>
          <w:spacing w:val="2"/>
          <w:sz w:val="24"/>
          <w:szCs w:val="24"/>
        </w:rPr>
        <w:t>法定代表人</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2"/>
          <w:sz w:val="24"/>
          <w:szCs w:val="24"/>
        </w:rPr>
        <w:t>电子签章）</w:t>
      </w:r>
    </w:p>
    <w:p w14:paraId="341DABF5">
      <w:pPr>
        <w:spacing w:before="196" w:line="219" w:lineRule="auto"/>
        <w:ind w:left="50"/>
        <w:outlineLvl w:val="1"/>
        <w:rPr>
          <w:rFonts w:hint="eastAsia" w:ascii="宋体" w:hAnsi="宋体" w:cs="宋体"/>
          <w:sz w:val="24"/>
          <w:szCs w:val="24"/>
        </w:rPr>
      </w:pPr>
      <w:r>
        <w:rPr>
          <w:rFonts w:ascii="宋体" w:hAnsi="宋体" w:cs="宋体"/>
          <w:spacing w:val="-15"/>
          <w:sz w:val="24"/>
          <w:szCs w:val="24"/>
        </w:rPr>
        <w:t>日</w:t>
      </w:r>
      <w:r>
        <w:rPr>
          <w:rFonts w:ascii="宋体" w:hAnsi="宋体" w:cs="宋体"/>
          <w:spacing w:val="4"/>
          <w:sz w:val="24"/>
          <w:szCs w:val="24"/>
        </w:rPr>
        <w:t xml:space="preserve">   </w:t>
      </w:r>
      <w:r>
        <w:rPr>
          <w:rFonts w:ascii="宋体" w:hAnsi="宋体" w:cs="宋体"/>
          <w:spacing w:val="-15"/>
          <w:sz w:val="24"/>
          <w:szCs w:val="24"/>
        </w:rPr>
        <w:t>期:</w:t>
      </w:r>
      <w:r>
        <w:rPr>
          <w:rFonts w:ascii="宋体" w:hAnsi="宋体" w:cs="宋体"/>
          <w:sz w:val="24"/>
          <w:szCs w:val="24"/>
          <w:u w:val="single"/>
        </w:rPr>
        <w:t xml:space="preserve">      </w:t>
      </w:r>
      <w:r>
        <w:rPr>
          <w:rFonts w:ascii="宋体" w:hAnsi="宋体" w:cs="宋体"/>
          <w:spacing w:val="-109"/>
          <w:sz w:val="24"/>
          <w:szCs w:val="24"/>
        </w:rPr>
        <w:t xml:space="preserve"> </w:t>
      </w:r>
      <w:r>
        <w:rPr>
          <w:rFonts w:ascii="宋体" w:hAnsi="宋体" w:cs="宋体"/>
          <w:spacing w:val="-15"/>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15"/>
          <w:sz w:val="24"/>
          <w:szCs w:val="24"/>
        </w:rPr>
        <w:t>月</w:t>
      </w:r>
      <w:r>
        <w:rPr>
          <w:rFonts w:ascii="宋体" w:hAnsi="宋体" w:cs="宋体"/>
          <w:sz w:val="24"/>
          <w:szCs w:val="24"/>
          <w:u w:val="single"/>
        </w:rPr>
        <w:t xml:space="preserve">     </w:t>
      </w:r>
      <w:r>
        <w:rPr>
          <w:rFonts w:ascii="宋体" w:hAnsi="宋体" w:cs="宋体"/>
          <w:spacing w:val="-70"/>
          <w:sz w:val="24"/>
          <w:szCs w:val="24"/>
        </w:rPr>
        <w:t xml:space="preserve"> </w:t>
      </w:r>
      <w:r>
        <w:rPr>
          <w:rFonts w:ascii="宋体" w:hAnsi="宋体" w:cs="宋体"/>
          <w:spacing w:val="-15"/>
          <w:sz w:val="24"/>
          <w:szCs w:val="24"/>
        </w:rPr>
        <w:t>日</w:t>
      </w:r>
    </w:p>
    <w:p w14:paraId="047EB274">
      <w:pPr>
        <w:spacing w:line="219" w:lineRule="auto"/>
        <w:rPr>
          <w:rFonts w:hint="eastAsia" w:ascii="宋体" w:hAnsi="宋体" w:cs="宋体"/>
          <w:sz w:val="24"/>
          <w:szCs w:val="24"/>
        </w:rPr>
        <w:sectPr>
          <w:footerReference r:id="rId3" w:type="default"/>
          <w:pgSz w:w="11906" w:h="16839"/>
          <w:pgMar w:top="1166" w:right="937" w:bottom="1229" w:left="1080" w:header="829" w:footer="994" w:gutter="0"/>
          <w:cols w:space="720" w:num="1"/>
        </w:sectPr>
      </w:pPr>
    </w:p>
    <w:p w14:paraId="3F7D5E9D">
      <w:pPr>
        <w:spacing w:before="91" w:line="220" w:lineRule="auto"/>
        <w:ind w:left="2917"/>
        <w:outlineLvl w:val="1"/>
        <w:rPr>
          <w:rFonts w:hint="eastAsia" w:ascii="宋体" w:hAnsi="宋体" w:cs="宋体"/>
          <w:sz w:val="28"/>
          <w:szCs w:val="28"/>
        </w:rPr>
      </w:pPr>
      <w:r>
        <w:rPr>
          <w:rFonts w:hint="eastAsia" w:ascii="宋体" w:hAnsi="宋体" w:cs="宋体"/>
          <w:b/>
          <w:bCs/>
          <w:spacing w:val="-3"/>
          <w:sz w:val="28"/>
          <w:szCs w:val="28"/>
        </w:rPr>
        <w:t>六、</w:t>
      </w:r>
      <w:r>
        <w:rPr>
          <w:rFonts w:ascii="宋体" w:hAnsi="宋体" w:cs="宋体"/>
          <w:b/>
          <w:bCs/>
          <w:spacing w:val="-3"/>
          <w:sz w:val="28"/>
          <w:szCs w:val="28"/>
        </w:rPr>
        <w:t>技术规格和商务条款偏差表</w:t>
      </w:r>
    </w:p>
    <w:p w14:paraId="47A38FB7">
      <w:pPr>
        <w:spacing w:line="117" w:lineRule="exact"/>
      </w:pPr>
    </w:p>
    <w:tbl>
      <w:tblPr>
        <w:tblStyle w:val="91"/>
        <w:tblW w:w="985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3125"/>
        <w:gridCol w:w="2139"/>
        <w:gridCol w:w="2216"/>
        <w:gridCol w:w="1851"/>
      </w:tblGrid>
      <w:tr w14:paraId="1A92E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5" w:type="dxa"/>
            <w:vMerge w:val="restart"/>
            <w:tcBorders>
              <w:bottom w:val="nil"/>
            </w:tcBorders>
          </w:tcPr>
          <w:p w14:paraId="68CD41C9">
            <w:pPr>
              <w:spacing w:line="277" w:lineRule="auto"/>
              <w:rPr>
                <w:rFonts w:ascii="Arial"/>
              </w:rPr>
            </w:pPr>
          </w:p>
          <w:p w14:paraId="2561A1D9">
            <w:pPr>
              <w:spacing w:line="277" w:lineRule="auto"/>
              <w:rPr>
                <w:rFonts w:ascii="Arial"/>
              </w:rPr>
            </w:pPr>
          </w:p>
          <w:p w14:paraId="2D8AD5E7">
            <w:pPr>
              <w:pStyle w:val="90"/>
              <w:spacing w:before="65" w:line="229" w:lineRule="auto"/>
              <w:ind w:left="57"/>
              <w:rPr>
                <w:rFonts w:hint="eastAsia"/>
                <w:sz w:val="20"/>
                <w:szCs w:val="20"/>
              </w:rPr>
            </w:pPr>
            <w:r>
              <w:rPr>
                <w:spacing w:val="5"/>
                <w:sz w:val="20"/>
                <w:szCs w:val="20"/>
              </w:rPr>
              <w:t>序号</w:t>
            </w:r>
          </w:p>
        </w:tc>
        <w:tc>
          <w:tcPr>
            <w:tcW w:w="3125" w:type="dxa"/>
            <w:vMerge w:val="restart"/>
            <w:tcBorders>
              <w:bottom w:val="nil"/>
            </w:tcBorders>
          </w:tcPr>
          <w:p w14:paraId="423CD11D">
            <w:pPr>
              <w:spacing w:line="277" w:lineRule="auto"/>
              <w:rPr>
                <w:rFonts w:ascii="Arial"/>
              </w:rPr>
            </w:pPr>
          </w:p>
          <w:p w14:paraId="322F2957">
            <w:pPr>
              <w:spacing w:line="277" w:lineRule="auto"/>
              <w:rPr>
                <w:rFonts w:ascii="Arial"/>
              </w:rPr>
            </w:pPr>
          </w:p>
          <w:p w14:paraId="5651C658">
            <w:pPr>
              <w:pStyle w:val="90"/>
              <w:spacing w:before="65" w:line="227" w:lineRule="auto"/>
              <w:ind w:left="414"/>
              <w:rPr>
                <w:rFonts w:hint="eastAsia"/>
                <w:sz w:val="20"/>
                <w:szCs w:val="20"/>
                <w:lang w:eastAsia="zh-CN"/>
              </w:rPr>
            </w:pPr>
            <w:r>
              <w:rPr>
                <w:spacing w:val="8"/>
                <w:sz w:val="20"/>
                <w:szCs w:val="20"/>
                <w:lang w:eastAsia="zh-CN"/>
              </w:rPr>
              <w:t>投标货物技术及商务条款</w:t>
            </w:r>
          </w:p>
        </w:tc>
        <w:tc>
          <w:tcPr>
            <w:tcW w:w="4355" w:type="dxa"/>
            <w:gridSpan w:val="2"/>
          </w:tcPr>
          <w:p w14:paraId="1A3312B6">
            <w:pPr>
              <w:pStyle w:val="90"/>
              <w:spacing w:before="233" w:line="228" w:lineRule="auto"/>
              <w:ind w:left="1449"/>
              <w:rPr>
                <w:rFonts w:hint="eastAsia"/>
                <w:sz w:val="20"/>
                <w:szCs w:val="20"/>
              </w:rPr>
            </w:pPr>
            <w:r>
              <w:rPr>
                <w:spacing w:val="8"/>
                <w:sz w:val="20"/>
                <w:szCs w:val="20"/>
              </w:rPr>
              <w:t>技术参数及要求</w:t>
            </w:r>
          </w:p>
        </w:tc>
        <w:tc>
          <w:tcPr>
            <w:tcW w:w="1851" w:type="dxa"/>
            <w:vMerge w:val="restart"/>
            <w:tcBorders>
              <w:bottom w:val="nil"/>
            </w:tcBorders>
          </w:tcPr>
          <w:p w14:paraId="34618372">
            <w:pPr>
              <w:spacing w:line="277" w:lineRule="auto"/>
              <w:rPr>
                <w:rFonts w:ascii="Arial"/>
              </w:rPr>
            </w:pPr>
          </w:p>
          <w:p w14:paraId="1BFC7027">
            <w:pPr>
              <w:spacing w:line="277" w:lineRule="auto"/>
              <w:rPr>
                <w:rFonts w:ascii="Arial"/>
              </w:rPr>
            </w:pPr>
          </w:p>
          <w:p w14:paraId="3E674370">
            <w:pPr>
              <w:pStyle w:val="90"/>
              <w:spacing w:before="65" w:line="228" w:lineRule="auto"/>
              <w:ind w:left="513"/>
              <w:rPr>
                <w:rFonts w:hint="eastAsia"/>
                <w:sz w:val="20"/>
                <w:szCs w:val="20"/>
              </w:rPr>
            </w:pPr>
            <w:r>
              <w:rPr>
                <w:spacing w:val="6"/>
                <w:sz w:val="20"/>
                <w:szCs w:val="20"/>
              </w:rPr>
              <w:t>符合程度</w:t>
            </w:r>
          </w:p>
        </w:tc>
      </w:tr>
      <w:tr w14:paraId="7FF4A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525" w:type="dxa"/>
            <w:vMerge w:val="continue"/>
            <w:tcBorders>
              <w:top w:val="nil"/>
            </w:tcBorders>
          </w:tcPr>
          <w:p w14:paraId="11A1370F">
            <w:pPr>
              <w:rPr>
                <w:rFonts w:ascii="Arial"/>
              </w:rPr>
            </w:pPr>
          </w:p>
        </w:tc>
        <w:tc>
          <w:tcPr>
            <w:tcW w:w="3125" w:type="dxa"/>
            <w:vMerge w:val="continue"/>
            <w:tcBorders>
              <w:top w:val="nil"/>
            </w:tcBorders>
          </w:tcPr>
          <w:p w14:paraId="70C9E2E8">
            <w:pPr>
              <w:rPr>
                <w:rFonts w:ascii="Arial"/>
              </w:rPr>
            </w:pPr>
          </w:p>
        </w:tc>
        <w:tc>
          <w:tcPr>
            <w:tcW w:w="2139" w:type="dxa"/>
          </w:tcPr>
          <w:p w14:paraId="0C12E1C9">
            <w:pPr>
              <w:pStyle w:val="90"/>
              <w:spacing w:before="278" w:line="227" w:lineRule="auto"/>
              <w:ind w:left="760"/>
              <w:rPr>
                <w:rFonts w:hint="eastAsia"/>
                <w:sz w:val="20"/>
                <w:szCs w:val="20"/>
              </w:rPr>
            </w:pPr>
            <w:r>
              <w:rPr>
                <w:spacing w:val="6"/>
                <w:sz w:val="20"/>
                <w:szCs w:val="20"/>
              </w:rPr>
              <w:t>招标书</w:t>
            </w:r>
          </w:p>
        </w:tc>
        <w:tc>
          <w:tcPr>
            <w:tcW w:w="2216" w:type="dxa"/>
          </w:tcPr>
          <w:p w14:paraId="4B6C871A">
            <w:pPr>
              <w:pStyle w:val="90"/>
              <w:spacing w:before="278" w:line="227" w:lineRule="auto"/>
              <w:ind w:left="802"/>
              <w:rPr>
                <w:rFonts w:hint="eastAsia"/>
                <w:sz w:val="20"/>
                <w:szCs w:val="20"/>
              </w:rPr>
            </w:pPr>
            <w:r>
              <w:rPr>
                <w:spacing w:val="6"/>
                <w:sz w:val="20"/>
                <w:szCs w:val="20"/>
              </w:rPr>
              <w:t>投标书</w:t>
            </w:r>
          </w:p>
        </w:tc>
        <w:tc>
          <w:tcPr>
            <w:tcW w:w="1851" w:type="dxa"/>
            <w:vMerge w:val="continue"/>
            <w:tcBorders>
              <w:top w:val="nil"/>
            </w:tcBorders>
          </w:tcPr>
          <w:p w14:paraId="1D87DB4C">
            <w:pPr>
              <w:rPr>
                <w:rFonts w:ascii="Arial"/>
              </w:rPr>
            </w:pPr>
          </w:p>
        </w:tc>
      </w:tr>
      <w:tr w14:paraId="57DF5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525" w:type="dxa"/>
          </w:tcPr>
          <w:p w14:paraId="67B12A5E">
            <w:pPr>
              <w:spacing w:line="267" w:lineRule="auto"/>
              <w:rPr>
                <w:rFonts w:ascii="Arial"/>
              </w:rPr>
            </w:pPr>
          </w:p>
          <w:p w14:paraId="12B3550F">
            <w:pPr>
              <w:spacing w:before="57" w:line="195" w:lineRule="auto"/>
              <w:ind w:left="231"/>
              <w:rPr>
                <w:rFonts w:eastAsia="Times New Roman"/>
                <w:sz w:val="20"/>
                <w:szCs w:val="20"/>
              </w:rPr>
            </w:pPr>
            <w:r>
              <w:rPr>
                <w:rFonts w:eastAsia="Times New Roman"/>
                <w:sz w:val="20"/>
                <w:szCs w:val="20"/>
              </w:rPr>
              <w:t>1</w:t>
            </w:r>
          </w:p>
        </w:tc>
        <w:tc>
          <w:tcPr>
            <w:tcW w:w="3125" w:type="dxa"/>
          </w:tcPr>
          <w:p w14:paraId="04D2CC10">
            <w:pPr>
              <w:rPr>
                <w:rFonts w:ascii="Arial"/>
              </w:rPr>
            </w:pPr>
          </w:p>
        </w:tc>
        <w:tc>
          <w:tcPr>
            <w:tcW w:w="2139" w:type="dxa"/>
          </w:tcPr>
          <w:p w14:paraId="25EB2A5A">
            <w:pPr>
              <w:rPr>
                <w:rFonts w:ascii="Arial"/>
              </w:rPr>
            </w:pPr>
          </w:p>
        </w:tc>
        <w:tc>
          <w:tcPr>
            <w:tcW w:w="2216" w:type="dxa"/>
          </w:tcPr>
          <w:p w14:paraId="49C47C70">
            <w:pPr>
              <w:rPr>
                <w:rFonts w:ascii="Arial"/>
              </w:rPr>
            </w:pPr>
          </w:p>
        </w:tc>
        <w:tc>
          <w:tcPr>
            <w:tcW w:w="1851" w:type="dxa"/>
          </w:tcPr>
          <w:p w14:paraId="11E6A1F1">
            <w:pPr>
              <w:rPr>
                <w:rFonts w:ascii="Arial"/>
              </w:rPr>
            </w:pPr>
          </w:p>
        </w:tc>
      </w:tr>
      <w:tr w14:paraId="4DEB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25" w:type="dxa"/>
          </w:tcPr>
          <w:p w14:paraId="2E50C23D">
            <w:pPr>
              <w:spacing w:line="254" w:lineRule="auto"/>
              <w:rPr>
                <w:rFonts w:ascii="Arial"/>
              </w:rPr>
            </w:pPr>
          </w:p>
          <w:p w14:paraId="6B387A2B">
            <w:pPr>
              <w:spacing w:before="58" w:line="195" w:lineRule="auto"/>
              <w:ind w:left="210"/>
              <w:rPr>
                <w:rFonts w:eastAsia="Times New Roman"/>
                <w:sz w:val="20"/>
                <w:szCs w:val="20"/>
              </w:rPr>
            </w:pPr>
            <w:r>
              <w:rPr>
                <w:rFonts w:eastAsia="Times New Roman"/>
                <w:sz w:val="20"/>
                <w:szCs w:val="20"/>
              </w:rPr>
              <w:t>2</w:t>
            </w:r>
          </w:p>
        </w:tc>
        <w:tc>
          <w:tcPr>
            <w:tcW w:w="3125" w:type="dxa"/>
          </w:tcPr>
          <w:p w14:paraId="70B3C5EB">
            <w:pPr>
              <w:rPr>
                <w:rFonts w:ascii="Arial"/>
              </w:rPr>
            </w:pPr>
          </w:p>
        </w:tc>
        <w:tc>
          <w:tcPr>
            <w:tcW w:w="2139" w:type="dxa"/>
          </w:tcPr>
          <w:p w14:paraId="3BBCC3C7">
            <w:pPr>
              <w:rPr>
                <w:rFonts w:ascii="Arial"/>
              </w:rPr>
            </w:pPr>
          </w:p>
        </w:tc>
        <w:tc>
          <w:tcPr>
            <w:tcW w:w="2216" w:type="dxa"/>
          </w:tcPr>
          <w:p w14:paraId="53AF896D">
            <w:pPr>
              <w:rPr>
                <w:rFonts w:ascii="Arial"/>
              </w:rPr>
            </w:pPr>
          </w:p>
        </w:tc>
        <w:tc>
          <w:tcPr>
            <w:tcW w:w="1851" w:type="dxa"/>
          </w:tcPr>
          <w:p w14:paraId="1037F62A">
            <w:pPr>
              <w:rPr>
                <w:rFonts w:ascii="Arial"/>
              </w:rPr>
            </w:pPr>
          </w:p>
        </w:tc>
      </w:tr>
      <w:tr w14:paraId="12C2A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25" w:type="dxa"/>
          </w:tcPr>
          <w:p w14:paraId="591DAC4C">
            <w:pPr>
              <w:spacing w:line="267" w:lineRule="auto"/>
              <w:rPr>
                <w:rFonts w:ascii="Arial"/>
              </w:rPr>
            </w:pPr>
          </w:p>
          <w:p w14:paraId="6267B673">
            <w:pPr>
              <w:spacing w:before="57" w:line="195" w:lineRule="auto"/>
              <w:ind w:left="215"/>
              <w:rPr>
                <w:rFonts w:eastAsia="Times New Roman"/>
                <w:sz w:val="20"/>
                <w:szCs w:val="20"/>
              </w:rPr>
            </w:pPr>
            <w:r>
              <w:rPr>
                <w:rFonts w:eastAsia="Times New Roman"/>
                <w:sz w:val="20"/>
                <w:szCs w:val="20"/>
              </w:rPr>
              <w:t>3</w:t>
            </w:r>
          </w:p>
        </w:tc>
        <w:tc>
          <w:tcPr>
            <w:tcW w:w="3125" w:type="dxa"/>
          </w:tcPr>
          <w:p w14:paraId="3FCF479F">
            <w:pPr>
              <w:rPr>
                <w:rFonts w:ascii="Arial"/>
              </w:rPr>
            </w:pPr>
          </w:p>
        </w:tc>
        <w:tc>
          <w:tcPr>
            <w:tcW w:w="2139" w:type="dxa"/>
          </w:tcPr>
          <w:p w14:paraId="0DFB838B">
            <w:pPr>
              <w:rPr>
                <w:rFonts w:ascii="Arial"/>
              </w:rPr>
            </w:pPr>
          </w:p>
        </w:tc>
        <w:tc>
          <w:tcPr>
            <w:tcW w:w="2216" w:type="dxa"/>
          </w:tcPr>
          <w:p w14:paraId="04F22ABD">
            <w:pPr>
              <w:rPr>
                <w:rFonts w:ascii="Arial"/>
              </w:rPr>
            </w:pPr>
          </w:p>
        </w:tc>
        <w:tc>
          <w:tcPr>
            <w:tcW w:w="1851" w:type="dxa"/>
          </w:tcPr>
          <w:p w14:paraId="595E53D3">
            <w:pPr>
              <w:rPr>
                <w:rFonts w:ascii="Arial"/>
              </w:rPr>
            </w:pPr>
          </w:p>
        </w:tc>
      </w:tr>
      <w:tr w14:paraId="3587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525" w:type="dxa"/>
          </w:tcPr>
          <w:p w14:paraId="50228E4C">
            <w:pPr>
              <w:spacing w:line="268" w:lineRule="auto"/>
              <w:rPr>
                <w:rFonts w:ascii="Arial"/>
              </w:rPr>
            </w:pPr>
          </w:p>
          <w:p w14:paraId="58B9DBEA">
            <w:pPr>
              <w:spacing w:before="57" w:line="195" w:lineRule="auto"/>
              <w:ind w:left="209"/>
              <w:rPr>
                <w:rFonts w:eastAsia="Times New Roman"/>
                <w:sz w:val="20"/>
                <w:szCs w:val="20"/>
              </w:rPr>
            </w:pPr>
            <w:r>
              <w:rPr>
                <w:rFonts w:eastAsia="Times New Roman"/>
                <w:spacing w:val="1"/>
                <w:sz w:val="20"/>
                <w:szCs w:val="20"/>
              </w:rPr>
              <w:t>4</w:t>
            </w:r>
          </w:p>
        </w:tc>
        <w:tc>
          <w:tcPr>
            <w:tcW w:w="3125" w:type="dxa"/>
          </w:tcPr>
          <w:p w14:paraId="6D3685D5">
            <w:pPr>
              <w:rPr>
                <w:rFonts w:ascii="Arial"/>
              </w:rPr>
            </w:pPr>
          </w:p>
        </w:tc>
        <w:tc>
          <w:tcPr>
            <w:tcW w:w="2139" w:type="dxa"/>
          </w:tcPr>
          <w:p w14:paraId="5FB936CF">
            <w:pPr>
              <w:rPr>
                <w:rFonts w:ascii="Arial"/>
              </w:rPr>
            </w:pPr>
          </w:p>
        </w:tc>
        <w:tc>
          <w:tcPr>
            <w:tcW w:w="2216" w:type="dxa"/>
          </w:tcPr>
          <w:p w14:paraId="5F789BE8">
            <w:pPr>
              <w:rPr>
                <w:rFonts w:ascii="Arial"/>
              </w:rPr>
            </w:pPr>
          </w:p>
        </w:tc>
        <w:tc>
          <w:tcPr>
            <w:tcW w:w="1851" w:type="dxa"/>
          </w:tcPr>
          <w:p w14:paraId="31020506">
            <w:pPr>
              <w:rPr>
                <w:rFonts w:ascii="Arial"/>
              </w:rPr>
            </w:pPr>
          </w:p>
        </w:tc>
      </w:tr>
      <w:tr w14:paraId="6CDC6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525" w:type="dxa"/>
          </w:tcPr>
          <w:p w14:paraId="2B469056">
            <w:pPr>
              <w:spacing w:line="272" w:lineRule="auto"/>
              <w:rPr>
                <w:rFonts w:ascii="Arial"/>
              </w:rPr>
            </w:pPr>
          </w:p>
          <w:p w14:paraId="4D1C05E3">
            <w:pPr>
              <w:spacing w:before="58" w:line="192" w:lineRule="auto"/>
              <w:ind w:left="216"/>
              <w:rPr>
                <w:rFonts w:eastAsia="Times New Roman"/>
                <w:sz w:val="20"/>
                <w:szCs w:val="20"/>
              </w:rPr>
            </w:pPr>
            <w:r>
              <w:rPr>
                <w:rFonts w:eastAsia="Times New Roman"/>
                <w:sz w:val="20"/>
                <w:szCs w:val="20"/>
              </w:rPr>
              <w:t>5</w:t>
            </w:r>
          </w:p>
        </w:tc>
        <w:tc>
          <w:tcPr>
            <w:tcW w:w="3125" w:type="dxa"/>
          </w:tcPr>
          <w:p w14:paraId="471ABCB7">
            <w:pPr>
              <w:rPr>
                <w:rFonts w:ascii="Arial"/>
              </w:rPr>
            </w:pPr>
          </w:p>
        </w:tc>
        <w:tc>
          <w:tcPr>
            <w:tcW w:w="2139" w:type="dxa"/>
          </w:tcPr>
          <w:p w14:paraId="67C69DDB">
            <w:pPr>
              <w:rPr>
                <w:rFonts w:ascii="Arial"/>
              </w:rPr>
            </w:pPr>
          </w:p>
        </w:tc>
        <w:tc>
          <w:tcPr>
            <w:tcW w:w="2216" w:type="dxa"/>
          </w:tcPr>
          <w:p w14:paraId="49A2D18B">
            <w:pPr>
              <w:rPr>
                <w:rFonts w:ascii="Arial"/>
              </w:rPr>
            </w:pPr>
          </w:p>
        </w:tc>
        <w:tc>
          <w:tcPr>
            <w:tcW w:w="1851" w:type="dxa"/>
          </w:tcPr>
          <w:p w14:paraId="064DAC6C">
            <w:pPr>
              <w:rPr>
                <w:rFonts w:ascii="Arial"/>
              </w:rPr>
            </w:pPr>
          </w:p>
        </w:tc>
      </w:tr>
      <w:tr w14:paraId="45F2F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525" w:type="dxa"/>
          </w:tcPr>
          <w:p w14:paraId="5E525078">
            <w:pPr>
              <w:spacing w:line="380" w:lineRule="auto"/>
              <w:rPr>
                <w:rFonts w:ascii="Arial"/>
              </w:rPr>
            </w:pPr>
          </w:p>
          <w:p w14:paraId="16E5E297">
            <w:pPr>
              <w:spacing w:before="57" w:line="64" w:lineRule="exact"/>
              <w:ind w:left="177"/>
              <w:rPr>
                <w:rFonts w:eastAsia="Times New Roman"/>
                <w:sz w:val="20"/>
                <w:szCs w:val="20"/>
              </w:rPr>
            </w:pPr>
            <w:r>
              <w:rPr>
                <w:rFonts w:eastAsia="Times New Roman"/>
                <w:position w:val="1"/>
                <w:sz w:val="20"/>
                <w:szCs w:val="20"/>
              </w:rPr>
              <w:t>…</w:t>
            </w:r>
          </w:p>
        </w:tc>
        <w:tc>
          <w:tcPr>
            <w:tcW w:w="3125" w:type="dxa"/>
          </w:tcPr>
          <w:p w14:paraId="0C3269EA">
            <w:pPr>
              <w:rPr>
                <w:rFonts w:ascii="Arial"/>
              </w:rPr>
            </w:pPr>
          </w:p>
        </w:tc>
        <w:tc>
          <w:tcPr>
            <w:tcW w:w="2139" w:type="dxa"/>
          </w:tcPr>
          <w:p w14:paraId="0515EC2F">
            <w:pPr>
              <w:rPr>
                <w:rFonts w:ascii="Arial"/>
              </w:rPr>
            </w:pPr>
          </w:p>
        </w:tc>
        <w:tc>
          <w:tcPr>
            <w:tcW w:w="2216" w:type="dxa"/>
          </w:tcPr>
          <w:p w14:paraId="35128710">
            <w:pPr>
              <w:rPr>
                <w:rFonts w:ascii="Arial"/>
              </w:rPr>
            </w:pPr>
          </w:p>
        </w:tc>
        <w:tc>
          <w:tcPr>
            <w:tcW w:w="1851" w:type="dxa"/>
          </w:tcPr>
          <w:p w14:paraId="22D44F4D">
            <w:pPr>
              <w:rPr>
                <w:rFonts w:ascii="Arial"/>
              </w:rPr>
            </w:pPr>
          </w:p>
        </w:tc>
      </w:tr>
    </w:tbl>
    <w:p w14:paraId="14471A38">
      <w:pPr>
        <w:spacing w:before="115" w:line="360" w:lineRule="auto"/>
        <w:ind w:left="9" w:right="220"/>
        <w:rPr>
          <w:rFonts w:hint="eastAsia" w:ascii="宋体" w:hAnsi="宋体" w:cs="宋体"/>
          <w:sz w:val="24"/>
          <w:szCs w:val="24"/>
        </w:rPr>
      </w:pPr>
      <w:r>
        <w:rPr>
          <w:rFonts w:ascii="宋体" w:hAnsi="宋体" w:cs="宋体"/>
          <w:b/>
          <w:bCs/>
          <w:sz w:val="24"/>
          <w:szCs w:val="24"/>
        </w:rPr>
        <w:t>注明：</w:t>
      </w:r>
      <w:r>
        <w:rPr>
          <w:rFonts w:eastAsia="Times New Roman"/>
          <w:sz w:val="24"/>
          <w:szCs w:val="24"/>
        </w:rPr>
        <w:t>1</w:t>
      </w:r>
      <w:r>
        <w:rPr>
          <w:rFonts w:eastAsia="Times New Roman"/>
          <w:spacing w:val="-34"/>
          <w:sz w:val="24"/>
          <w:szCs w:val="24"/>
        </w:rPr>
        <w:t xml:space="preserve"> </w:t>
      </w:r>
      <w:r>
        <w:rPr>
          <w:rFonts w:ascii="宋体" w:hAnsi="宋体" w:cs="宋体"/>
          <w:sz w:val="24"/>
          <w:szCs w:val="24"/>
        </w:rPr>
        <w:t>、投标货物技术及商务条款可逐项填写，也</w:t>
      </w:r>
      <w:r>
        <w:rPr>
          <w:rFonts w:ascii="宋体" w:hAnsi="宋体" w:cs="宋体"/>
          <w:spacing w:val="-1"/>
          <w:sz w:val="24"/>
          <w:szCs w:val="24"/>
        </w:rPr>
        <w:t>可只填写偏差项，必须将偏差项逐项如实</w:t>
      </w:r>
      <w:r>
        <w:rPr>
          <w:rFonts w:ascii="宋体" w:hAnsi="宋体" w:cs="宋体"/>
          <w:sz w:val="24"/>
          <w:szCs w:val="24"/>
        </w:rPr>
        <w:t xml:space="preserve"> </w:t>
      </w:r>
      <w:r>
        <w:rPr>
          <w:rFonts w:ascii="宋体" w:hAnsi="宋体" w:cs="宋体"/>
          <w:spacing w:val="1"/>
          <w:sz w:val="24"/>
          <w:szCs w:val="24"/>
        </w:rPr>
        <w:t>填写。若投标货物完全无偏差，本表可不填；若本表未填写不</w:t>
      </w:r>
      <w:r>
        <w:rPr>
          <w:rFonts w:ascii="宋体" w:hAnsi="宋体" w:cs="宋体"/>
          <w:sz w:val="24"/>
          <w:szCs w:val="24"/>
        </w:rPr>
        <w:t>满足项，但</w:t>
      </w:r>
      <w:r>
        <w:rPr>
          <w:rFonts w:eastAsia="Times New Roman"/>
          <w:sz w:val="24"/>
          <w:szCs w:val="24"/>
        </w:rPr>
        <w:t>“</w:t>
      </w:r>
      <w:r>
        <w:rPr>
          <w:rFonts w:ascii="宋体" w:hAnsi="宋体" w:cs="宋体"/>
          <w:sz w:val="24"/>
          <w:szCs w:val="24"/>
        </w:rPr>
        <w:t xml:space="preserve">技术性能参数的详 </w:t>
      </w:r>
      <w:r>
        <w:rPr>
          <w:rFonts w:ascii="宋体" w:hAnsi="宋体" w:cs="宋体"/>
          <w:spacing w:val="1"/>
          <w:sz w:val="24"/>
          <w:szCs w:val="24"/>
        </w:rPr>
        <w:t>细描述</w:t>
      </w:r>
      <w:r>
        <w:rPr>
          <w:rFonts w:eastAsia="Times New Roman"/>
          <w:spacing w:val="1"/>
          <w:sz w:val="24"/>
          <w:szCs w:val="24"/>
        </w:rPr>
        <w:t>”</w:t>
      </w:r>
      <w:r>
        <w:rPr>
          <w:rFonts w:ascii="宋体" w:hAnsi="宋体" w:cs="宋体"/>
          <w:spacing w:val="1"/>
          <w:sz w:val="24"/>
          <w:szCs w:val="24"/>
        </w:rPr>
        <w:t>中列出的技术规格参数和商务条款章节中确实出现不满足</w:t>
      </w:r>
      <w:r>
        <w:rPr>
          <w:rFonts w:ascii="宋体" w:hAnsi="宋体" w:cs="宋体"/>
          <w:sz w:val="24"/>
          <w:szCs w:val="24"/>
        </w:rPr>
        <w:t xml:space="preserve">项的，视为虚假承诺，由供 </w:t>
      </w:r>
      <w:r>
        <w:rPr>
          <w:rFonts w:ascii="宋体" w:hAnsi="宋体" w:cs="宋体"/>
          <w:spacing w:val="-2"/>
          <w:sz w:val="24"/>
          <w:szCs w:val="24"/>
        </w:rPr>
        <w:t>应商自行承担其响应文件被废标的风险；若</w:t>
      </w:r>
      <w:r>
        <w:rPr>
          <w:rFonts w:ascii="宋体" w:hAnsi="宋体" w:cs="宋体"/>
          <w:spacing w:val="-3"/>
          <w:sz w:val="24"/>
          <w:szCs w:val="24"/>
        </w:rPr>
        <w:t>供应商承诺的货物技术参数与实物不符，自行承担</w:t>
      </w:r>
      <w:r>
        <w:rPr>
          <w:rFonts w:ascii="宋体" w:hAnsi="宋体" w:cs="宋体"/>
          <w:sz w:val="24"/>
          <w:szCs w:val="24"/>
        </w:rPr>
        <w:t xml:space="preserve"> </w:t>
      </w:r>
      <w:r>
        <w:rPr>
          <w:rFonts w:ascii="宋体" w:hAnsi="宋体" w:cs="宋体"/>
          <w:spacing w:val="-3"/>
          <w:sz w:val="24"/>
          <w:szCs w:val="24"/>
        </w:rPr>
        <w:t>《中华人民共和国政府采购法》、《中华人民共和国政府采购法实施条例》、《政府采购货物</w:t>
      </w:r>
      <w:r>
        <w:rPr>
          <w:rFonts w:ascii="宋体" w:hAnsi="宋体" w:cs="宋体"/>
          <w:spacing w:val="16"/>
          <w:sz w:val="24"/>
          <w:szCs w:val="24"/>
        </w:rPr>
        <w:t xml:space="preserve"> </w:t>
      </w:r>
      <w:r>
        <w:rPr>
          <w:rFonts w:ascii="宋体" w:hAnsi="宋体" w:cs="宋体"/>
          <w:spacing w:val="-1"/>
          <w:sz w:val="24"/>
          <w:szCs w:val="24"/>
        </w:rPr>
        <w:t>和服务招标投标管理办法》规定之责任。</w:t>
      </w:r>
    </w:p>
    <w:p w14:paraId="06C59570">
      <w:pPr>
        <w:spacing w:line="218" w:lineRule="auto"/>
        <w:ind w:left="5"/>
        <w:rPr>
          <w:rFonts w:hint="eastAsia" w:ascii="宋体" w:hAnsi="宋体" w:cs="宋体"/>
          <w:sz w:val="24"/>
          <w:szCs w:val="24"/>
        </w:rPr>
      </w:pPr>
      <w:r>
        <w:rPr>
          <w:rFonts w:eastAsia="Times New Roman"/>
          <w:spacing w:val="-2"/>
          <w:sz w:val="24"/>
          <w:szCs w:val="24"/>
        </w:rPr>
        <w:t>2</w:t>
      </w:r>
      <w:r>
        <w:rPr>
          <w:rFonts w:eastAsia="Times New Roman"/>
          <w:spacing w:val="-27"/>
          <w:sz w:val="24"/>
          <w:szCs w:val="24"/>
        </w:rPr>
        <w:t xml:space="preserve"> </w:t>
      </w:r>
      <w:r>
        <w:rPr>
          <w:rFonts w:ascii="宋体" w:hAnsi="宋体" w:cs="宋体"/>
          <w:spacing w:val="-2"/>
          <w:sz w:val="24"/>
          <w:szCs w:val="24"/>
        </w:rPr>
        <w:t>、表格不足时供应商可根据需要另行添加。</w:t>
      </w:r>
    </w:p>
    <w:p w14:paraId="65029AEA">
      <w:pPr>
        <w:spacing w:before="184" w:line="219" w:lineRule="auto"/>
        <w:ind w:left="9"/>
        <w:rPr>
          <w:rFonts w:hint="eastAsia" w:ascii="宋体" w:hAnsi="宋体" w:cs="宋体"/>
          <w:sz w:val="24"/>
          <w:szCs w:val="24"/>
        </w:rPr>
      </w:pPr>
      <w:r>
        <w:rPr>
          <w:rFonts w:eastAsia="Times New Roman"/>
          <w:spacing w:val="-1"/>
          <w:sz w:val="24"/>
          <w:szCs w:val="24"/>
        </w:rPr>
        <w:t>3</w:t>
      </w:r>
      <w:r>
        <w:rPr>
          <w:rFonts w:eastAsia="Times New Roman"/>
          <w:spacing w:val="-34"/>
          <w:sz w:val="24"/>
          <w:szCs w:val="24"/>
        </w:rPr>
        <w:t xml:space="preserve"> </w:t>
      </w:r>
      <w:r>
        <w:rPr>
          <w:rFonts w:ascii="宋体" w:hAnsi="宋体" w:cs="宋体"/>
          <w:spacing w:val="-1"/>
          <w:sz w:val="24"/>
          <w:szCs w:val="24"/>
        </w:rPr>
        <w:t>、偏差项必须按照投标货物的符合程度，如实填写</w:t>
      </w:r>
      <w:r>
        <w:rPr>
          <w:rFonts w:eastAsia="Times New Roman"/>
          <w:spacing w:val="-1"/>
          <w:sz w:val="24"/>
          <w:szCs w:val="24"/>
        </w:rPr>
        <w:t>“</w:t>
      </w:r>
      <w:r>
        <w:rPr>
          <w:rFonts w:ascii="宋体" w:hAnsi="宋体" w:cs="宋体"/>
          <w:spacing w:val="-1"/>
          <w:sz w:val="24"/>
          <w:szCs w:val="24"/>
        </w:rPr>
        <w:t>优于、满足、不满</w:t>
      </w:r>
      <w:r>
        <w:rPr>
          <w:rFonts w:ascii="宋体" w:hAnsi="宋体" w:cs="宋体"/>
          <w:spacing w:val="-2"/>
          <w:sz w:val="24"/>
          <w:szCs w:val="24"/>
        </w:rPr>
        <w:t>足</w:t>
      </w:r>
      <w:r>
        <w:rPr>
          <w:rFonts w:eastAsia="Times New Roman"/>
          <w:spacing w:val="-2"/>
          <w:sz w:val="24"/>
          <w:szCs w:val="24"/>
        </w:rPr>
        <w:t>”</w:t>
      </w:r>
      <w:r>
        <w:rPr>
          <w:rFonts w:ascii="宋体" w:hAnsi="宋体" w:cs="宋体"/>
          <w:spacing w:val="-2"/>
          <w:sz w:val="24"/>
          <w:szCs w:val="24"/>
        </w:rPr>
        <w:t>。</w:t>
      </w:r>
    </w:p>
    <w:p w14:paraId="2FFDE9D0">
      <w:pPr>
        <w:spacing w:before="245" w:line="219" w:lineRule="auto"/>
        <w:ind w:left="9"/>
        <w:outlineLvl w:val="1"/>
        <w:rPr>
          <w:rFonts w:hint="eastAsia" w:ascii="宋体" w:hAnsi="宋体" w:cs="宋体"/>
          <w:sz w:val="24"/>
          <w:szCs w:val="24"/>
        </w:rPr>
      </w:pPr>
      <w:r>
        <w:rPr>
          <w:rFonts w:ascii="宋体" w:hAnsi="宋体" w:cs="宋体"/>
          <w:spacing w:val="3"/>
          <w:sz w:val="24"/>
          <w:szCs w:val="24"/>
        </w:rPr>
        <w:t>供应商</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3"/>
          <w:sz w:val="24"/>
          <w:szCs w:val="24"/>
        </w:rPr>
        <w:t>电子章）</w:t>
      </w:r>
    </w:p>
    <w:p w14:paraId="3AFF8C22">
      <w:pPr>
        <w:spacing w:before="196" w:line="219" w:lineRule="auto"/>
        <w:ind w:left="10"/>
        <w:rPr>
          <w:rFonts w:hint="eastAsia" w:ascii="宋体" w:hAnsi="宋体" w:cs="宋体"/>
          <w:sz w:val="24"/>
          <w:szCs w:val="24"/>
        </w:rPr>
      </w:pPr>
      <w:r>
        <w:rPr>
          <w:rFonts w:ascii="宋体" w:hAnsi="宋体" w:cs="宋体"/>
          <w:spacing w:val="2"/>
          <w:sz w:val="24"/>
          <w:szCs w:val="24"/>
        </w:rPr>
        <w:t>法定代表人</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2"/>
          <w:sz w:val="24"/>
          <w:szCs w:val="24"/>
        </w:rPr>
        <w:t>电子签章）</w:t>
      </w:r>
    </w:p>
    <w:p w14:paraId="3DB81D2B">
      <w:pPr>
        <w:spacing w:before="196" w:line="219" w:lineRule="auto"/>
        <w:ind w:left="50"/>
        <w:rPr>
          <w:rFonts w:hint="eastAsia" w:ascii="宋体" w:hAnsi="宋体" w:cs="宋体"/>
          <w:sz w:val="24"/>
          <w:szCs w:val="24"/>
        </w:rPr>
        <w:sectPr>
          <w:headerReference r:id="rId4" w:type="default"/>
          <w:footerReference r:id="rId5" w:type="default"/>
          <w:pgSz w:w="11906" w:h="16839"/>
          <w:pgMar w:top="1166" w:right="859" w:bottom="1229" w:left="1080" w:header="829" w:footer="994" w:gutter="0"/>
          <w:cols w:space="720" w:num="1"/>
        </w:sectPr>
      </w:pPr>
      <w:r>
        <w:rPr>
          <w:rFonts w:ascii="宋体" w:hAnsi="宋体" w:cs="宋体"/>
          <w:spacing w:val="-15"/>
          <w:sz w:val="24"/>
          <w:szCs w:val="24"/>
        </w:rPr>
        <w:t>日</w:t>
      </w:r>
      <w:r>
        <w:rPr>
          <w:rFonts w:ascii="宋体" w:hAnsi="宋体" w:cs="宋体"/>
          <w:spacing w:val="4"/>
          <w:sz w:val="24"/>
          <w:szCs w:val="24"/>
        </w:rPr>
        <w:t xml:space="preserve">   </w:t>
      </w:r>
      <w:r>
        <w:rPr>
          <w:rFonts w:ascii="宋体" w:hAnsi="宋体" w:cs="宋体"/>
          <w:spacing w:val="-15"/>
          <w:sz w:val="24"/>
          <w:szCs w:val="24"/>
        </w:rPr>
        <w:t>期:</w:t>
      </w:r>
      <w:r>
        <w:rPr>
          <w:rFonts w:ascii="宋体" w:hAnsi="宋体" w:cs="宋体"/>
          <w:sz w:val="24"/>
          <w:szCs w:val="24"/>
          <w:u w:val="single"/>
        </w:rPr>
        <w:t xml:space="preserve">      </w:t>
      </w:r>
      <w:r>
        <w:rPr>
          <w:rFonts w:ascii="宋体" w:hAnsi="宋体" w:cs="宋体"/>
          <w:spacing w:val="-109"/>
          <w:sz w:val="24"/>
          <w:szCs w:val="24"/>
        </w:rPr>
        <w:t xml:space="preserve"> </w:t>
      </w:r>
      <w:r>
        <w:rPr>
          <w:rFonts w:ascii="宋体" w:hAnsi="宋体" w:cs="宋体"/>
          <w:spacing w:val="-15"/>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15"/>
          <w:sz w:val="24"/>
          <w:szCs w:val="24"/>
        </w:rPr>
        <w:t>月</w:t>
      </w:r>
      <w:r>
        <w:rPr>
          <w:rFonts w:ascii="宋体" w:hAnsi="宋体" w:cs="宋体"/>
          <w:sz w:val="24"/>
          <w:szCs w:val="24"/>
          <w:u w:val="single"/>
        </w:rPr>
        <w:t xml:space="preserve">     </w:t>
      </w:r>
      <w:r>
        <w:rPr>
          <w:rFonts w:ascii="宋体" w:hAnsi="宋体" w:cs="宋体"/>
          <w:spacing w:val="-70"/>
          <w:sz w:val="24"/>
          <w:szCs w:val="24"/>
        </w:rPr>
        <w:t xml:space="preserve"> </w:t>
      </w:r>
      <w:r>
        <w:rPr>
          <w:rFonts w:ascii="宋体" w:hAnsi="宋体" w:cs="宋体"/>
          <w:spacing w:val="-15"/>
          <w:sz w:val="24"/>
          <w:szCs w:val="24"/>
        </w:rPr>
        <w:t>日</w:t>
      </w:r>
    </w:p>
    <w:p w14:paraId="081946EC">
      <w:pPr>
        <w:spacing w:before="91" w:line="219" w:lineRule="auto"/>
        <w:ind w:left="3617"/>
        <w:outlineLvl w:val="1"/>
        <w:rPr>
          <w:rFonts w:hint="eastAsia" w:ascii="宋体" w:hAnsi="宋体" w:cs="宋体"/>
          <w:sz w:val="28"/>
          <w:szCs w:val="28"/>
        </w:rPr>
      </w:pPr>
      <w:bookmarkStart w:id="414" w:name="_Toc113608218"/>
      <w:bookmarkStart w:id="415" w:name="_Toc152656735"/>
      <w:bookmarkStart w:id="416" w:name="_Toc25526"/>
      <w:r>
        <w:rPr>
          <w:rFonts w:ascii="宋体" w:hAnsi="宋体" w:cs="宋体"/>
          <w:b/>
          <w:bCs/>
          <w:spacing w:val="-3"/>
          <w:sz w:val="28"/>
          <w:szCs w:val="28"/>
        </w:rPr>
        <w:t>七、廉洁投标承诺书</w:t>
      </w:r>
    </w:p>
    <w:p w14:paraId="4CC275C5">
      <w:pPr>
        <w:spacing w:before="233" w:line="360" w:lineRule="auto"/>
        <w:ind w:left="13" w:right="142" w:firstLine="479"/>
        <w:rPr>
          <w:rFonts w:hint="eastAsia" w:ascii="宋体" w:hAnsi="宋体" w:cs="宋体"/>
          <w:sz w:val="24"/>
          <w:szCs w:val="24"/>
        </w:rPr>
      </w:pPr>
      <w:r>
        <w:rPr>
          <w:rFonts w:ascii="宋体" w:hAnsi="宋体" w:cs="宋体"/>
          <w:spacing w:val="-3"/>
          <w:sz w:val="24"/>
          <w:szCs w:val="24"/>
        </w:rPr>
        <w:t>为确保公共资源交易活动合法、合规、公平、公正、公开，我单位在项目投标活动中承诺如下事项：</w:t>
      </w:r>
    </w:p>
    <w:p w14:paraId="5B2CDC95">
      <w:pPr>
        <w:spacing w:line="289" w:lineRule="auto"/>
        <w:ind w:left="8" w:right="142" w:firstLine="484"/>
        <w:rPr>
          <w:rFonts w:hint="eastAsia" w:ascii="宋体" w:hAnsi="宋体" w:cs="宋体"/>
          <w:sz w:val="24"/>
          <w:szCs w:val="24"/>
        </w:rPr>
      </w:pPr>
      <w:r>
        <w:rPr>
          <w:rFonts w:ascii="宋体" w:hAnsi="宋体" w:cs="宋体"/>
          <w:spacing w:val="-3"/>
          <w:sz w:val="24"/>
          <w:szCs w:val="24"/>
        </w:rPr>
        <w:t>一、严格执行招标投标法、政府采购法等各项法律、法规及制度，主动接受相关部门和社</w:t>
      </w:r>
      <w:r>
        <w:rPr>
          <w:rFonts w:ascii="宋体" w:hAnsi="宋体" w:cs="宋体"/>
          <w:spacing w:val="-2"/>
          <w:sz w:val="24"/>
          <w:szCs w:val="24"/>
        </w:rPr>
        <w:t>会的监督。</w:t>
      </w:r>
    </w:p>
    <w:p w14:paraId="63172E0C">
      <w:pPr>
        <w:spacing w:before="182" w:line="290" w:lineRule="auto"/>
        <w:ind w:left="29" w:right="142" w:firstLine="464"/>
        <w:rPr>
          <w:rFonts w:hint="eastAsia" w:ascii="宋体" w:hAnsi="宋体" w:cs="宋体"/>
          <w:sz w:val="24"/>
          <w:szCs w:val="24"/>
        </w:rPr>
      </w:pPr>
      <w:r>
        <w:rPr>
          <w:rFonts w:ascii="宋体" w:hAnsi="宋体" w:cs="宋体"/>
          <w:spacing w:val="-3"/>
          <w:sz w:val="24"/>
          <w:szCs w:val="24"/>
        </w:rPr>
        <w:t>二、不与采购人、代理机构串通投标；不与其他供应商相互串通投标，不排挤其他供应商</w:t>
      </w:r>
      <w:r>
        <w:rPr>
          <w:rFonts w:ascii="宋体" w:hAnsi="宋体" w:cs="宋体"/>
          <w:spacing w:val="-5"/>
          <w:sz w:val="24"/>
          <w:szCs w:val="24"/>
        </w:rPr>
        <w:t>的公平竞争。</w:t>
      </w:r>
    </w:p>
    <w:p w14:paraId="0B4E6E1C">
      <w:pPr>
        <w:spacing w:before="182" w:line="219" w:lineRule="auto"/>
        <w:ind w:left="489"/>
        <w:rPr>
          <w:rFonts w:hint="eastAsia" w:ascii="宋体" w:hAnsi="宋体" w:cs="宋体"/>
          <w:sz w:val="24"/>
          <w:szCs w:val="24"/>
        </w:rPr>
      </w:pPr>
      <w:r>
        <w:rPr>
          <w:rFonts w:ascii="宋体" w:hAnsi="宋体" w:cs="宋体"/>
          <w:sz w:val="24"/>
          <w:szCs w:val="24"/>
        </w:rPr>
        <w:t>三、不向招标代理机构、评委和招标单位人员进行任何形式的商</w:t>
      </w:r>
      <w:r>
        <w:rPr>
          <w:rFonts w:ascii="宋体" w:hAnsi="宋体" w:cs="宋体"/>
          <w:spacing w:val="-1"/>
          <w:sz w:val="24"/>
          <w:szCs w:val="24"/>
        </w:rPr>
        <w:t>业贿赂以谋取中标机会。</w:t>
      </w:r>
    </w:p>
    <w:p w14:paraId="5AE2E34A">
      <w:pPr>
        <w:spacing w:before="184" w:line="219" w:lineRule="auto"/>
        <w:ind w:left="511"/>
        <w:rPr>
          <w:rFonts w:hint="eastAsia" w:ascii="宋体" w:hAnsi="宋体" w:cs="宋体"/>
          <w:sz w:val="24"/>
          <w:szCs w:val="24"/>
        </w:rPr>
      </w:pPr>
      <w:r>
        <w:rPr>
          <w:rFonts w:ascii="宋体" w:hAnsi="宋体" w:cs="宋体"/>
          <w:spacing w:val="-1"/>
          <w:sz w:val="24"/>
          <w:szCs w:val="24"/>
        </w:rPr>
        <w:t>四、保证提供的投标资料真实、准确、合法，不以任何形式弄虚作假骗取中标。</w:t>
      </w:r>
    </w:p>
    <w:p w14:paraId="4D3673C9">
      <w:pPr>
        <w:spacing w:before="184" w:line="289" w:lineRule="auto"/>
        <w:ind w:left="12" w:right="142" w:firstLine="480"/>
        <w:rPr>
          <w:rFonts w:hint="eastAsia" w:ascii="宋体" w:hAnsi="宋体" w:cs="宋体"/>
          <w:sz w:val="24"/>
          <w:szCs w:val="24"/>
        </w:rPr>
      </w:pPr>
      <w:r>
        <w:rPr>
          <w:rFonts w:ascii="宋体" w:hAnsi="宋体" w:cs="宋体"/>
          <w:spacing w:val="-3"/>
          <w:sz w:val="24"/>
          <w:szCs w:val="24"/>
        </w:rPr>
        <w:t>五、不以低于成本的报价竞标，不以他人名义投标，不以任何方式转包和违法分包。不以</w:t>
      </w:r>
      <w:r>
        <w:rPr>
          <w:rFonts w:ascii="宋体" w:hAnsi="宋体" w:cs="宋体"/>
          <w:sz w:val="24"/>
          <w:szCs w:val="24"/>
        </w:rPr>
        <w:t>投诉为名排挤竞争对手，不进行虚假、恶意投诉，</w:t>
      </w:r>
      <w:r>
        <w:rPr>
          <w:rFonts w:ascii="宋体" w:hAnsi="宋体" w:cs="宋体"/>
          <w:spacing w:val="-1"/>
          <w:sz w:val="24"/>
          <w:szCs w:val="24"/>
        </w:rPr>
        <w:t>阻碍招标投标活动的正常进行。</w:t>
      </w:r>
    </w:p>
    <w:p w14:paraId="3D04C10F">
      <w:pPr>
        <w:spacing w:before="184" w:line="219" w:lineRule="auto"/>
        <w:ind w:left="491"/>
        <w:rPr>
          <w:rFonts w:hint="eastAsia" w:ascii="宋体" w:hAnsi="宋体" w:cs="宋体"/>
          <w:sz w:val="24"/>
          <w:szCs w:val="24"/>
        </w:rPr>
      </w:pPr>
      <w:r>
        <w:rPr>
          <w:rFonts w:ascii="宋体" w:hAnsi="宋体" w:cs="宋体"/>
          <w:spacing w:val="-1"/>
          <w:sz w:val="24"/>
          <w:szCs w:val="24"/>
        </w:rPr>
        <w:t>六、中标后，在规定时间内与采购人签订合同并依法履行合同。</w:t>
      </w:r>
    </w:p>
    <w:p w14:paraId="7A6F2A85">
      <w:pPr>
        <w:spacing w:before="184" w:line="289" w:lineRule="auto"/>
        <w:ind w:left="9" w:right="142" w:firstLine="479"/>
        <w:rPr>
          <w:rFonts w:hint="eastAsia" w:ascii="宋体" w:hAnsi="宋体" w:cs="宋体"/>
          <w:sz w:val="24"/>
          <w:szCs w:val="24"/>
        </w:rPr>
      </w:pPr>
      <w:r>
        <w:rPr>
          <w:rFonts w:ascii="宋体" w:hAnsi="宋体" w:cs="宋体"/>
          <w:spacing w:val="-3"/>
          <w:sz w:val="24"/>
          <w:szCs w:val="24"/>
        </w:rPr>
        <w:t>七、违反上述承诺或有其他违法违规行为，愿意接受被没收投标保证金，以及按照国家法</w:t>
      </w:r>
      <w:r>
        <w:rPr>
          <w:rFonts w:ascii="宋体" w:hAnsi="宋体" w:cs="宋体"/>
          <w:spacing w:val="-1"/>
          <w:sz w:val="24"/>
          <w:szCs w:val="24"/>
        </w:rPr>
        <w:t>律、法规和相应规章制度规定接受处罚，愿意承担一切法律责任。</w:t>
      </w:r>
    </w:p>
    <w:p w14:paraId="15BF3ADD">
      <w:pPr>
        <w:pStyle w:val="10"/>
        <w:spacing w:line="318" w:lineRule="auto"/>
      </w:pPr>
    </w:p>
    <w:p w14:paraId="6441DE37">
      <w:pPr>
        <w:pStyle w:val="10"/>
        <w:spacing w:line="318" w:lineRule="auto"/>
      </w:pPr>
    </w:p>
    <w:p w14:paraId="4DF6CB15">
      <w:pPr>
        <w:spacing w:before="79" w:line="219" w:lineRule="auto"/>
        <w:ind w:left="9"/>
        <w:outlineLvl w:val="1"/>
        <w:rPr>
          <w:rFonts w:hint="eastAsia" w:ascii="宋体" w:hAnsi="宋体" w:cs="宋体"/>
          <w:sz w:val="24"/>
          <w:szCs w:val="24"/>
        </w:rPr>
      </w:pPr>
      <w:r>
        <w:rPr>
          <w:rFonts w:ascii="宋体" w:hAnsi="宋体" w:cs="宋体"/>
          <w:spacing w:val="3"/>
          <w:sz w:val="24"/>
          <w:szCs w:val="24"/>
        </w:rPr>
        <w:t>供应商</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3"/>
          <w:sz w:val="24"/>
          <w:szCs w:val="24"/>
        </w:rPr>
        <w:t>电子章）</w:t>
      </w:r>
    </w:p>
    <w:p w14:paraId="0FD9BC13">
      <w:pPr>
        <w:spacing w:before="195" w:line="219" w:lineRule="auto"/>
        <w:ind w:left="10"/>
        <w:rPr>
          <w:rFonts w:hint="eastAsia" w:ascii="宋体" w:hAnsi="宋体" w:cs="宋体"/>
          <w:sz w:val="24"/>
          <w:szCs w:val="24"/>
        </w:rPr>
      </w:pPr>
      <w:r>
        <w:rPr>
          <w:rFonts w:ascii="宋体" w:hAnsi="宋体" w:cs="宋体"/>
          <w:spacing w:val="2"/>
          <w:sz w:val="24"/>
          <w:szCs w:val="24"/>
        </w:rPr>
        <w:t>法定代表人</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2"/>
          <w:sz w:val="24"/>
          <w:szCs w:val="24"/>
        </w:rPr>
        <w:t>电子签章）</w:t>
      </w:r>
    </w:p>
    <w:p w14:paraId="2F10D768">
      <w:pPr>
        <w:spacing w:before="196" w:line="219" w:lineRule="auto"/>
        <w:ind w:left="50"/>
        <w:rPr>
          <w:rFonts w:hint="eastAsia" w:ascii="宋体" w:hAnsi="宋体" w:cs="宋体"/>
          <w:sz w:val="24"/>
          <w:szCs w:val="24"/>
        </w:rPr>
      </w:pPr>
      <w:r>
        <w:rPr>
          <w:rFonts w:ascii="宋体" w:hAnsi="宋体" w:cs="宋体"/>
          <w:spacing w:val="-15"/>
          <w:sz w:val="24"/>
          <w:szCs w:val="24"/>
        </w:rPr>
        <w:t>日</w:t>
      </w:r>
      <w:r>
        <w:rPr>
          <w:rFonts w:ascii="宋体" w:hAnsi="宋体" w:cs="宋体"/>
          <w:spacing w:val="4"/>
          <w:sz w:val="24"/>
          <w:szCs w:val="24"/>
        </w:rPr>
        <w:t xml:space="preserve">   </w:t>
      </w:r>
      <w:r>
        <w:rPr>
          <w:rFonts w:ascii="宋体" w:hAnsi="宋体" w:cs="宋体"/>
          <w:spacing w:val="-15"/>
          <w:sz w:val="24"/>
          <w:szCs w:val="24"/>
        </w:rPr>
        <w:t>期:</w:t>
      </w:r>
      <w:r>
        <w:rPr>
          <w:rFonts w:ascii="宋体" w:hAnsi="宋体" w:cs="宋体"/>
          <w:sz w:val="24"/>
          <w:szCs w:val="24"/>
          <w:u w:val="single"/>
        </w:rPr>
        <w:t xml:space="preserve">      </w:t>
      </w:r>
      <w:r>
        <w:rPr>
          <w:rFonts w:ascii="宋体" w:hAnsi="宋体" w:cs="宋体"/>
          <w:spacing w:val="-109"/>
          <w:sz w:val="24"/>
          <w:szCs w:val="24"/>
        </w:rPr>
        <w:t xml:space="preserve"> </w:t>
      </w:r>
      <w:r>
        <w:rPr>
          <w:rFonts w:ascii="宋体" w:hAnsi="宋体" w:cs="宋体"/>
          <w:spacing w:val="-15"/>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15"/>
          <w:sz w:val="24"/>
          <w:szCs w:val="24"/>
        </w:rPr>
        <w:t>月</w:t>
      </w:r>
      <w:r>
        <w:rPr>
          <w:rFonts w:ascii="宋体" w:hAnsi="宋体" w:cs="宋体"/>
          <w:sz w:val="24"/>
          <w:szCs w:val="24"/>
          <w:u w:val="single"/>
        </w:rPr>
        <w:t xml:space="preserve">     </w:t>
      </w:r>
      <w:r>
        <w:rPr>
          <w:rFonts w:ascii="宋体" w:hAnsi="宋体" w:cs="宋体"/>
          <w:spacing w:val="-70"/>
          <w:sz w:val="24"/>
          <w:szCs w:val="24"/>
        </w:rPr>
        <w:t xml:space="preserve"> </w:t>
      </w:r>
      <w:r>
        <w:rPr>
          <w:rFonts w:ascii="宋体" w:hAnsi="宋体" w:cs="宋体"/>
          <w:spacing w:val="-15"/>
          <w:sz w:val="24"/>
          <w:szCs w:val="24"/>
        </w:rPr>
        <w:t>日</w:t>
      </w:r>
    </w:p>
    <w:p w14:paraId="0EC9A075">
      <w:pPr>
        <w:spacing w:line="219" w:lineRule="auto"/>
        <w:rPr>
          <w:rFonts w:hint="eastAsia" w:ascii="宋体" w:hAnsi="宋体" w:cs="宋体"/>
          <w:sz w:val="24"/>
          <w:szCs w:val="24"/>
        </w:rPr>
        <w:sectPr>
          <w:headerReference r:id="rId6" w:type="default"/>
          <w:footerReference r:id="rId7" w:type="default"/>
          <w:pgSz w:w="11906" w:h="16839"/>
          <w:pgMar w:top="1166" w:right="937" w:bottom="1229" w:left="1080" w:header="829" w:footer="994" w:gutter="0"/>
          <w:cols w:space="720" w:num="1"/>
        </w:sectPr>
      </w:pPr>
    </w:p>
    <w:p w14:paraId="7599AD74">
      <w:pPr>
        <w:jc w:val="center"/>
        <w:outlineLvl w:val="1"/>
        <w:rPr>
          <w:b/>
          <w:bCs/>
          <w:sz w:val="28"/>
          <w:szCs w:val="28"/>
        </w:rPr>
      </w:pPr>
      <w:r>
        <w:rPr>
          <w:rFonts w:hint="eastAsia" w:cs="宋体"/>
          <w:b/>
          <w:bCs/>
          <w:sz w:val="28"/>
          <w:szCs w:val="28"/>
        </w:rPr>
        <w:t>八、</w:t>
      </w:r>
      <w:r>
        <w:rPr>
          <w:rFonts w:cs="宋体"/>
          <w:b/>
          <w:bCs/>
          <w:sz w:val="28"/>
          <w:szCs w:val="28"/>
        </w:rPr>
        <w:t>中小企业声明函</w:t>
      </w:r>
      <w:bookmarkEnd w:id="414"/>
      <w:bookmarkEnd w:id="415"/>
    </w:p>
    <w:p w14:paraId="23A02ADC">
      <w:pPr>
        <w:pStyle w:val="10"/>
      </w:pPr>
    </w:p>
    <w:p w14:paraId="52990D2B">
      <w:pPr>
        <w:spacing w:line="360" w:lineRule="auto"/>
        <w:ind w:firstLine="480" w:firstLineChars="200"/>
        <w:rPr>
          <w:sz w:val="24"/>
          <w:szCs w:val="24"/>
        </w:rPr>
      </w:pPr>
      <w:r>
        <w:rPr>
          <w:sz w:val="24"/>
          <w:szCs w:val="24"/>
        </w:rPr>
        <w:t>本公司（联合体）郑重声明，根据《政府采购促进中小企业发展管理办法》（财库﹝2020﹞46 号） 的规定，本公司 （联合体）参加</w:t>
      </w:r>
      <w:r>
        <w:rPr>
          <w:sz w:val="24"/>
          <w:szCs w:val="24"/>
          <w:u w:val="single"/>
        </w:rPr>
        <w:t>（单位名称）</w:t>
      </w:r>
      <w:r>
        <w:rPr>
          <w:sz w:val="24"/>
          <w:szCs w:val="24"/>
        </w:rPr>
        <w:t>的</w:t>
      </w:r>
      <w:r>
        <w:rPr>
          <w:sz w:val="24"/>
          <w:szCs w:val="24"/>
          <w:u w:val="single"/>
        </w:rPr>
        <w:t>（项目名称）</w:t>
      </w:r>
      <w:r>
        <w:rPr>
          <w:sz w:val="24"/>
          <w:szCs w:val="24"/>
        </w:rPr>
        <w:t xml:space="preserve">采购活动，提供的货物全部由符合政策要求的中小企业制造。相关企业（含联合体中的中小企业、签订分包意向协议的中小企业）的具体情况如下：  </w:t>
      </w:r>
    </w:p>
    <w:p w14:paraId="549AFCE4">
      <w:pPr>
        <w:spacing w:line="360" w:lineRule="auto"/>
        <w:ind w:firstLine="480" w:firstLineChars="200"/>
        <w:rPr>
          <w:sz w:val="24"/>
          <w:szCs w:val="24"/>
        </w:rPr>
      </w:pPr>
      <w:r>
        <w:rPr>
          <w:sz w:val="24"/>
          <w:szCs w:val="24"/>
          <w:u w:val="single"/>
        </w:rPr>
        <w:t>（标的名称）</w:t>
      </w:r>
      <w:r>
        <w:rPr>
          <w:sz w:val="24"/>
          <w:szCs w:val="24"/>
        </w:rPr>
        <w:t xml:space="preserve"> ，属于</w:t>
      </w:r>
      <w:r>
        <w:rPr>
          <w:sz w:val="24"/>
          <w:szCs w:val="24"/>
          <w:u w:val="single"/>
        </w:rPr>
        <w:t xml:space="preserve">（采购文件中明确的所属行业） </w:t>
      </w:r>
      <w:r>
        <w:rPr>
          <w:sz w:val="24"/>
          <w:szCs w:val="24"/>
        </w:rPr>
        <w:t>行业；制造商为</w:t>
      </w:r>
      <w:r>
        <w:rPr>
          <w:sz w:val="24"/>
          <w:szCs w:val="24"/>
          <w:u w:val="single"/>
        </w:rPr>
        <w:t>（企业名称）</w:t>
      </w:r>
      <w:r>
        <w:rPr>
          <w:sz w:val="24"/>
          <w:szCs w:val="24"/>
        </w:rPr>
        <w:t>，从业人员人，营业收入为万元，资产总额为万元</w:t>
      </w:r>
      <w:r>
        <w:rPr>
          <w:rFonts w:hint="eastAsia" w:ascii="宋体" w:hAnsi="宋体" w:cs="宋体"/>
          <w:sz w:val="24"/>
          <w:szCs w:val="24"/>
        </w:rPr>
        <w:t>①</w:t>
      </w:r>
      <w:r>
        <w:rPr>
          <w:sz w:val="24"/>
          <w:szCs w:val="24"/>
        </w:rPr>
        <w:t>，属于</w:t>
      </w:r>
      <w:r>
        <w:rPr>
          <w:sz w:val="24"/>
          <w:szCs w:val="24"/>
          <w:u w:val="single"/>
        </w:rPr>
        <w:t>（中型企业、小型企业、微型企业）</w:t>
      </w:r>
      <w:r>
        <w:rPr>
          <w:sz w:val="24"/>
          <w:szCs w:val="24"/>
        </w:rPr>
        <w:t xml:space="preserve">；  </w:t>
      </w:r>
    </w:p>
    <w:p w14:paraId="58E4A19A">
      <w:pPr>
        <w:spacing w:line="360" w:lineRule="auto"/>
        <w:ind w:firstLine="480" w:firstLineChars="200"/>
        <w:rPr>
          <w:sz w:val="24"/>
          <w:szCs w:val="24"/>
        </w:rPr>
      </w:pPr>
      <w:r>
        <w:rPr>
          <w:sz w:val="24"/>
          <w:szCs w:val="24"/>
          <w:u w:val="single"/>
        </w:rPr>
        <w:t>（标的名称）</w:t>
      </w:r>
      <w:r>
        <w:rPr>
          <w:sz w:val="24"/>
          <w:szCs w:val="24"/>
        </w:rPr>
        <w:t xml:space="preserve"> ，属于</w:t>
      </w:r>
      <w:r>
        <w:rPr>
          <w:sz w:val="24"/>
          <w:szCs w:val="24"/>
          <w:u w:val="single"/>
        </w:rPr>
        <w:t xml:space="preserve">（采购文件中明确的所属行业） </w:t>
      </w:r>
      <w:r>
        <w:rPr>
          <w:sz w:val="24"/>
          <w:szCs w:val="24"/>
        </w:rPr>
        <w:t>行业；制造商为</w:t>
      </w:r>
      <w:r>
        <w:rPr>
          <w:sz w:val="24"/>
          <w:szCs w:val="24"/>
          <w:u w:val="single"/>
        </w:rPr>
        <w:t>（企业名称）</w:t>
      </w:r>
      <w:r>
        <w:rPr>
          <w:sz w:val="24"/>
          <w:szCs w:val="24"/>
        </w:rPr>
        <w:t>，从业人员人，营业收入为万元，资产总额为万元，属于</w:t>
      </w:r>
      <w:r>
        <w:rPr>
          <w:sz w:val="24"/>
          <w:szCs w:val="24"/>
          <w:u w:val="single"/>
        </w:rPr>
        <w:t>（中型企业、小型企业、微型企业）</w:t>
      </w:r>
      <w:r>
        <w:rPr>
          <w:sz w:val="24"/>
          <w:szCs w:val="24"/>
        </w:rPr>
        <w:t xml:space="preserve">；  </w:t>
      </w:r>
    </w:p>
    <w:p w14:paraId="56186490">
      <w:pPr>
        <w:spacing w:line="360" w:lineRule="auto"/>
        <w:ind w:firstLine="480" w:firstLineChars="200"/>
        <w:rPr>
          <w:sz w:val="24"/>
          <w:szCs w:val="24"/>
        </w:rPr>
      </w:pPr>
      <w:r>
        <w:rPr>
          <w:sz w:val="24"/>
          <w:szCs w:val="24"/>
        </w:rPr>
        <w:t xml:space="preserve">…… </w:t>
      </w:r>
    </w:p>
    <w:p w14:paraId="00D6DD6E">
      <w:pPr>
        <w:spacing w:line="360" w:lineRule="auto"/>
        <w:ind w:firstLine="480" w:firstLineChars="200"/>
        <w:rPr>
          <w:sz w:val="24"/>
          <w:szCs w:val="24"/>
        </w:rPr>
      </w:pPr>
      <w:r>
        <w:rPr>
          <w:sz w:val="24"/>
          <w:szCs w:val="24"/>
        </w:rPr>
        <w:t xml:space="preserve">以上企业，不属于大企业的分支机构，不存在控股股东为大企业的情形，也不存在与大企业的负责人为同一人的情形。 </w:t>
      </w:r>
    </w:p>
    <w:p w14:paraId="4DF974C4">
      <w:pPr>
        <w:spacing w:line="360" w:lineRule="auto"/>
        <w:ind w:firstLine="480" w:firstLineChars="200"/>
        <w:rPr>
          <w:sz w:val="24"/>
          <w:szCs w:val="24"/>
        </w:rPr>
      </w:pPr>
      <w:r>
        <w:rPr>
          <w:sz w:val="24"/>
          <w:szCs w:val="24"/>
        </w:rPr>
        <w:t xml:space="preserve">本企业对上述声明内容的真实性负责。如有虚假，将依法承担相应责任。  </w:t>
      </w:r>
    </w:p>
    <w:p w14:paraId="760158B2">
      <w:pPr>
        <w:pStyle w:val="10"/>
        <w:spacing w:line="360" w:lineRule="auto"/>
      </w:pPr>
    </w:p>
    <w:p w14:paraId="2CB493A2">
      <w:pPr>
        <w:pStyle w:val="10"/>
        <w:spacing w:before="3" w:line="360" w:lineRule="auto"/>
      </w:pPr>
    </w:p>
    <w:p w14:paraId="26908824">
      <w:pPr>
        <w:spacing w:before="71" w:line="360" w:lineRule="auto"/>
        <w:ind w:left="5674"/>
        <w:rPr>
          <w:sz w:val="24"/>
          <w:szCs w:val="24"/>
        </w:rPr>
      </w:pPr>
      <w:r>
        <w:rPr>
          <w:sz w:val="24"/>
          <w:szCs w:val="24"/>
        </w:rPr>
        <w:t>企业名称（盖章）：</w:t>
      </w:r>
    </w:p>
    <w:p w14:paraId="11C3A233">
      <w:pPr>
        <w:spacing w:before="71" w:line="360" w:lineRule="auto"/>
        <w:ind w:left="5674"/>
        <w:rPr>
          <w:sz w:val="24"/>
          <w:szCs w:val="24"/>
        </w:rPr>
      </w:pPr>
      <w:r>
        <w:rPr>
          <w:sz w:val="24"/>
          <w:szCs w:val="24"/>
        </w:rPr>
        <w:t>日 期：</w:t>
      </w:r>
    </w:p>
    <w:p w14:paraId="19323F31">
      <w:pPr>
        <w:spacing w:line="360" w:lineRule="auto"/>
        <w:rPr>
          <w:sz w:val="24"/>
          <w:szCs w:val="24"/>
        </w:rPr>
      </w:pPr>
      <w:r>
        <w:rPr>
          <w:rFonts w:hint="eastAsia" w:ascii="微软雅黑" w:hAnsi="微软雅黑" w:eastAsia="微软雅黑"/>
          <w:b/>
          <w:sz w:val="24"/>
          <w:szCs w:val="24"/>
        </w:rPr>
        <w:t>注：</w:t>
      </w:r>
      <w:r>
        <w:rPr>
          <w:rFonts w:hint="eastAsia" w:ascii="宋体" w:hAnsi="宋体" w:cs="宋体"/>
          <w:sz w:val="24"/>
          <w:szCs w:val="24"/>
        </w:rPr>
        <w:t>1、</w:t>
      </w:r>
      <w:r>
        <w:rPr>
          <w:sz w:val="24"/>
          <w:szCs w:val="24"/>
        </w:rPr>
        <w:t xml:space="preserve">从业人员、营业收入、资产总额填报上一年度数据，无上一年度数据的新成立企业可不填报。 </w:t>
      </w:r>
    </w:p>
    <w:p w14:paraId="37AF0B46">
      <w:pPr>
        <w:spacing w:line="360" w:lineRule="auto"/>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 xml:space="preserve">在政府采购活动中，供应商提供的货物由中小企业制造，即货物由中小企业生产且使用该中小企业商号或者注册商标的，才能享受享受政府采购促进中小企业发展管理办法规定的中小企业扶持政策。供应商提供的货物既有中小企业制造货物，也有大型企业制造货物的，不享受政府采购促进中小企业发展管理办法规定的中小企业扶持政策。 </w:t>
      </w:r>
    </w:p>
    <w:p w14:paraId="5150596A">
      <w:pPr>
        <w:spacing w:line="360" w:lineRule="auto"/>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若不能提供或无需提供声明函时，该项只保留标题</w:t>
      </w:r>
      <w:r>
        <w:rPr>
          <w:rFonts w:hint="eastAsia" w:ascii="宋体" w:hAnsi="宋体" w:cs="宋体"/>
          <w:sz w:val="24"/>
          <w:szCs w:val="24"/>
        </w:rPr>
        <w:t>；格式内容未删除，但填空处均为空时视为未提供该函</w:t>
      </w:r>
      <w:r>
        <w:rPr>
          <w:rFonts w:ascii="宋体" w:hAnsi="宋体" w:cs="宋体"/>
          <w:sz w:val="24"/>
          <w:szCs w:val="24"/>
        </w:rPr>
        <w:t xml:space="preserve">。 </w:t>
      </w:r>
    </w:p>
    <w:p w14:paraId="1283214F">
      <w:pPr>
        <w:spacing w:line="360" w:lineRule="auto"/>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 xml:space="preserve">提供承诺函的同时即承担相应责任。 </w:t>
      </w:r>
    </w:p>
    <w:p w14:paraId="066333C3">
      <w:pPr>
        <w:jc w:val="both"/>
        <w:outlineLvl w:val="1"/>
        <w:rPr>
          <w:rFonts w:hint="eastAsia" w:cs="宋体"/>
          <w:b/>
          <w:bCs/>
          <w:sz w:val="28"/>
          <w:szCs w:val="28"/>
          <w:lang w:val="en-US" w:eastAsia="zh-CN"/>
        </w:rPr>
      </w:pPr>
      <w:r>
        <w:rPr>
          <w:rFonts w:hint="eastAsia" w:cs="宋体"/>
          <w:b/>
          <w:bCs/>
          <w:sz w:val="28"/>
          <w:szCs w:val="28"/>
          <w:lang w:val="en-US" w:eastAsia="zh-CN"/>
        </w:rPr>
        <w:t>5、本行业属于信息传输、软件和信息技术服务业</w:t>
      </w:r>
    </w:p>
    <w:p w14:paraId="1188FB78">
      <w:pPr>
        <w:jc w:val="center"/>
        <w:outlineLvl w:val="1"/>
        <w:rPr>
          <w:b/>
          <w:bCs/>
          <w:sz w:val="28"/>
          <w:szCs w:val="28"/>
        </w:rPr>
      </w:pPr>
      <w:r>
        <w:rPr>
          <w:rFonts w:hint="eastAsia" w:cs="宋体"/>
          <w:b/>
          <w:bCs/>
          <w:sz w:val="28"/>
          <w:szCs w:val="28"/>
        </w:rPr>
        <w:br w:type="page"/>
      </w:r>
      <w:bookmarkStart w:id="417" w:name="_Toc113608219"/>
      <w:bookmarkStart w:id="418" w:name="_Toc152656736"/>
      <w:r>
        <w:rPr>
          <w:rFonts w:hint="eastAsia" w:cs="宋体"/>
          <w:b/>
          <w:bCs/>
          <w:sz w:val="28"/>
          <w:szCs w:val="28"/>
        </w:rPr>
        <w:t>九、</w:t>
      </w:r>
      <w:bookmarkEnd w:id="416"/>
      <w:r>
        <w:rPr>
          <w:rFonts w:cs="宋体"/>
          <w:b/>
          <w:bCs/>
          <w:sz w:val="28"/>
          <w:szCs w:val="28"/>
        </w:rPr>
        <w:t>残疾人福利性单位声明函</w:t>
      </w:r>
      <w:bookmarkEnd w:id="417"/>
      <w:bookmarkEnd w:id="418"/>
    </w:p>
    <w:p w14:paraId="4F23D587">
      <w:pPr>
        <w:spacing w:line="360" w:lineRule="auto"/>
        <w:rPr>
          <w:sz w:val="24"/>
        </w:rPr>
      </w:pPr>
      <w:bookmarkStart w:id="419" w:name="_Toc11660_WPSOffice_Level1"/>
      <w:bookmarkStart w:id="420" w:name="_Toc31168"/>
      <w:bookmarkStart w:id="421" w:name="_Toc14088_WPSOffice_Level1"/>
    </w:p>
    <w:p w14:paraId="2CC378F5">
      <w:pPr>
        <w:spacing w:line="360" w:lineRule="auto"/>
        <w:ind w:firstLine="480" w:firstLineChars="200"/>
        <w:rPr>
          <w:sz w:val="24"/>
        </w:rPr>
      </w:pPr>
      <w:r>
        <w:rPr>
          <w:sz w:val="24"/>
        </w:rPr>
        <w:t xml:space="preserve">本单位郑重声明，根据《财政部 民政部 中国残疾人联合会关于促进残疾人就业政府采购政策的通知》（财库〔2017〕141 号）的规定，本单位为符合条件的残疾人福利性单位， 且本单位参加单位的项目采购活动提供本单位制造的货物（由本单位承担工程/提供服务），或者提供其他残疾人福利性单位制造的货物（不包括使用非残疾人福利性单位注册商标的货物）。 </w:t>
      </w:r>
    </w:p>
    <w:p w14:paraId="62040B78">
      <w:pPr>
        <w:spacing w:line="360" w:lineRule="auto"/>
        <w:ind w:firstLine="480" w:firstLineChars="200"/>
        <w:rPr>
          <w:sz w:val="24"/>
        </w:rPr>
      </w:pPr>
      <w:r>
        <w:rPr>
          <w:sz w:val="24"/>
        </w:rPr>
        <w:t>本单位对上述声明的真实性负责。如有虚假，将依法承担相应责任。</w:t>
      </w:r>
    </w:p>
    <w:p w14:paraId="5038EAD6">
      <w:pPr>
        <w:spacing w:line="360" w:lineRule="auto"/>
        <w:rPr>
          <w:sz w:val="24"/>
        </w:rPr>
      </w:pPr>
    </w:p>
    <w:p w14:paraId="3295F154">
      <w:pPr>
        <w:spacing w:line="360" w:lineRule="auto"/>
        <w:rPr>
          <w:sz w:val="24"/>
        </w:rPr>
      </w:pPr>
    </w:p>
    <w:p w14:paraId="3D57F856">
      <w:pPr>
        <w:spacing w:before="71" w:line="360" w:lineRule="auto"/>
        <w:ind w:left="5674"/>
        <w:rPr>
          <w:sz w:val="24"/>
        </w:rPr>
      </w:pPr>
      <w:r>
        <w:rPr>
          <w:sz w:val="24"/>
        </w:rPr>
        <w:t>企业名称（盖章）：</w:t>
      </w:r>
    </w:p>
    <w:p w14:paraId="72DEC664">
      <w:pPr>
        <w:spacing w:before="71" w:line="360" w:lineRule="auto"/>
        <w:ind w:left="5674"/>
        <w:rPr>
          <w:sz w:val="24"/>
          <w:u w:val="single"/>
        </w:rPr>
      </w:pPr>
      <w:r>
        <w:rPr>
          <w:sz w:val="24"/>
        </w:rPr>
        <w:t>日 期：</w:t>
      </w:r>
    </w:p>
    <w:p w14:paraId="676DF1A6">
      <w:pPr>
        <w:spacing w:before="71" w:line="360" w:lineRule="auto"/>
        <w:ind w:left="5674"/>
        <w:rPr>
          <w:sz w:val="24"/>
          <w:u w:val="single"/>
        </w:rPr>
      </w:pPr>
    </w:p>
    <w:p w14:paraId="7FDC48F0">
      <w:pPr>
        <w:spacing w:before="71" w:line="360" w:lineRule="auto"/>
        <w:ind w:left="5674"/>
        <w:rPr>
          <w:sz w:val="24"/>
          <w:u w:val="single"/>
        </w:rPr>
      </w:pPr>
    </w:p>
    <w:p w14:paraId="40E72502">
      <w:pPr>
        <w:spacing w:line="360" w:lineRule="auto"/>
        <w:rPr>
          <w:b/>
          <w:bCs/>
          <w:sz w:val="24"/>
        </w:rPr>
      </w:pPr>
      <w:r>
        <w:rPr>
          <w:rFonts w:hint="eastAsia"/>
          <w:b/>
          <w:bCs/>
          <w:sz w:val="24"/>
        </w:rPr>
        <w:t xml:space="preserve">注：1、属于残疾人福利性单位的填写，并提供证明材料。 </w:t>
      </w:r>
    </w:p>
    <w:p w14:paraId="7E83A772">
      <w:pPr>
        <w:spacing w:line="360" w:lineRule="auto"/>
        <w:rPr>
          <w:b/>
          <w:bCs/>
          <w:sz w:val="24"/>
        </w:rPr>
      </w:pPr>
      <w:r>
        <w:rPr>
          <w:rFonts w:hint="eastAsia"/>
          <w:b/>
          <w:bCs/>
          <w:sz w:val="24"/>
        </w:rPr>
        <w:t xml:space="preserve">2、若不能提供或无需提供声明函时，该项只保留标题；格式内容未删除，但填空处均为空时视为未提供该函。 </w:t>
      </w:r>
    </w:p>
    <w:p w14:paraId="1BBBCBEF">
      <w:pPr>
        <w:spacing w:line="360" w:lineRule="auto"/>
        <w:rPr>
          <w:b/>
          <w:bCs/>
          <w:sz w:val="24"/>
        </w:rPr>
      </w:pPr>
      <w:r>
        <w:rPr>
          <w:rFonts w:hint="eastAsia"/>
          <w:b/>
          <w:bCs/>
          <w:sz w:val="24"/>
        </w:rPr>
        <w:t>3、提供承诺函的同时即承担相应责任。</w:t>
      </w:r>
    </w:p>
    <w:p w14:paraId="0E8B4BB2">
      <w:pPr>
        <w:widowControl/>
        <w:jc w:val="left"/>
      </w:pPr>
    </w:p>
    <w:bookmarkEnd w:id="419"/>
    <w:bookmarkEnd w:id="420"/>
    <w:bookmarkEnd w:id="421"/>
    <w:p w14:paraId="10E3A42A">
      <w:pPr>
        <w:jc w:val="center"/>
        <w:outlineLvl w:val="1"/>
        <w:rPr>
          <w:b/>
          <w:bCs/>
          <w:sz w:val="28"/>
          <w:szCs w:val="28"/>
        </w:rPr>
      </w:pPr>
      <w:bookmarkStart w:id="422" w:name="_Toc10236_WPSOffice_Level1"/>
      <w:bookmarkStart w:id="423" w:name="_Toc13534"/>
      <w:bookmarkStart w:id="424" w:name="_Toc20405_WPSOffice_Level1"/>
      <w:r>
        <w:rPr>
          <w:rFonts w:hint="eastAsia" w:cs="宋体"/>
          <w:b/>
          <w:bCs/>
          <w:sz w:val="28"/>
          <w:szCs w:val="28"/>
        </w:rPr>
        <w:br w:type="page"/>
      </w:r>
      <w:bookmarkStart w:id="425" w:name="_Toc152656737"/>
      <w:bookmarkStart w:id="426" w:name="_Toc113608220"/>
      <w:r>
        <w:rPr>
          <w:rFonts w:hint="eastAsia" w:cs="宋体"/>
          <w:b/>
          <w:bCs/>
          <w:sz w:val="28"/>
          <w:szCs w:val="28"/>
        </w:rPr>
        <w:t>十、</w:t>
      </w:r>
      <w:bookmarkEnd w:id="422"/>
      <w:bookmarkEnd w:id="423"/>
      <w:bookmarkEnd w:id="424"/>
      <w:r>
        <w:rPr>
          <w:rFonts w:cs="宋体"/>
          <w:b/>
          <w:bCs/>
          <w:sz w:val="28"/>
          <w:szCs w:val="28"/>
        </w:rPr>
        <w:t>监狱企业证明文件</w:t>
      </w:r>
      <w:bookmarkEnd w:id="425"/>
      <w:bookmarkEnd w:id="426"/>
    </w:p>
    <w:p w14:paraId="081D9117">
      <w:pPr>
        <w:spacing w:line="480" w:lineRule="exact"/>
        <w:ind w:firstLine="480" w:firstLineChars="200"/>
        <w:jc w:val="center"/>
        <w:rPr>
          <w:rFonts w:ascii="宋体"/>
          <w:sz w:val="24"/>
          <w:szCs w:val="24"/>
        </w:rPr>
      </w:pPr>
      <w:r>
        <w:rPr>
          <w:rFonts w:hint="eastAsia" w:ascii="宋体" w:hAnsi="宋体" w:cs="宋体"/>
          <w:sz w:val="24"/>
          <w:szCs w:val="24"/>
        </w:rPr>
        <w:t>（格式自拟）</w:t>
      </w:r>
    </w:p>
    <w:p w14:paraId="7153CAD0">
      <w:pPr>
        <w:spacing w:line="480" w:lineRule="exact"/>
        <w:ind w:firstLine="480" w:firstLineChars="200"/>
        <w:rPr>
          <w:rFonts w:ascii="宋体"/>
          <w:sz w:val="24"/>
          <w:szCs w:val="24"/>
        </w:rPr>
      </w:pPr>
    </w:p>
    <w:p w14:paraId="369874E4">
      <w:pPr>
        <w:spacing w:line="480" w:lineRule="exact"/>
        <w:ind w:firstLine="480" w:firstLineChars="200"/>
        <w:rPr>
          <w:rFonts w:ascii="宋体"/>
          <w:sz w:val="24"/>
          <w:szCs w:val="24"/>
        </w:rPr>
      </w:pPr>
    </w:p>
    <w:p w14:paraId="11C914E4">
      <w:pPr>
        <w:spacing w:line="480" w:lineRule="exact"/>
        <w:ind w:firstLine="480" w:firstLineChars="200"/>
        <w:rPr>
          <w:rFonts w:ascii="宋体"/>
          <w:sz w:val="24"/>
          <w:szCs w:val="24"/>
        </w:rPr>
      </w:pPr>
    </w:p>
    <w:p w14:paraId="6A331BEF">
      <w:pPr>
        <w:spacing w:line="480" w:lineRule="exact"/>
        <w:ind w:firstLine="480" w:firstLineChars="200"/>
        <w:rPr>
          <w:rFonts w:ascii="宋体"/>
          <w:sz w:val="24"/>
          <w:szCs w:val="24"/>
        </w:rPr>
      </w:pPr>
    </w:p>
    <w:p w14:paraId="45C38700">
      <w:pPr>
        <w:spacing w:line="480" w:lineRule="exact"/>
        <w:ind w:firstLine="480" w:firstLineChars="200"/>
        <w:rPr>
          <w:rFonts w:ascii="宋体"/>
          <w:sz w:val="24"/>
          <w:szCs w:val="24"/>
        </w:rPr>
      </w:pPr>
    </w:p>
    <w:p w14:paraId="791EE968">
      <w:pPr>
        <w:spacing w:line="480" w:lineRule="exact"/>
        <w:ind w:firstLine="480" w:firstLineChars="200"/>
        <w:rPr>
          <w:rFonts w:ascii="宋体"/>
          <w:sz w:val="24"/>
          <w:szCs w:val="24"/>
        </w:rPr>
      </w:pPr>
    </w:p>
    <w:p w14:paraId="31ED35E4">
      <w:pPr>
        <w:spacing w:line="480" w:lineRule="exact"/>
        <w:ind w:firstLine="480" w:firstLineChars="200"/>
        <w:rPr>
          <w:rFonts w:ascii="宋体"/>
          <w:sz w:val="24"/>
          <w:szCs w:val="24"/>
        </w:rPr>
      </w:pPr>
    </w:p>
    <w:p w14:paraId="74393016">
      <w:pPr>
        <w:spacing w:line="480" w:lineRule="exact"/>
        <w:ind w:firstLine="480" w:firstLineChars="200"/>
        <w:rPr>
          <w:rFonts w:ascii="宋体"/>
          <w:sz w:val="24"/>
          <w:szCs w:val="24"/>
        </w:rPr>
      </w:pPr>
    </w:p>
    <w:p w14:paraId="50F6A80A">
      <w:pPr>
        <w:spacing w:line="480" w:lineRule="exact"/>
        <w:ind w:firstLine="480" w:firstLineChars="200"/>
        <w:rPr>
          <w:rFonts w:ascii="宋体"/>
          <w:sz w:val="24"/>
          <w:szCs w:val="24"/>
        </w:rPr>
      </w:pPr>
    </w:p>
    <w:p w14:paraId="21995EC7">
      <w:pPr>
        <w:spacing w:line="480" w:lineRule="exact"/>
        <w:ind w:firstLine="480" w:firstLineChars="200"/>
        <w:rPr>
          <w:rFonts w:ascii="宋体"/>
          <w:sz w:val="24"/>
          <w:szCs w:val="24"/>
        </w:rPr>
      </w:pPr>
    </w:p>
    <w:p w14:paraId="13D5B54A">
      <w:pPr>
        <w:spacing w:line="480" w:lineRule="exact"/>
        <w:ind w:firstLine="480" w:firstLineChars="200"/>
        <w:rPr>
          <w:rFonts w:ascii="宋体"/>
          <w:sz w:val="24"/>
          <w:szCs w:val="24"/>
        </w:rPr>
      </w:pPr>
    </w:p>
    <w:p w14:paraId="089885D1">
      <w:pPr>
        <w:spacing w:line="480" w:lineRule="exact"/>
        <w:ind w:firstLine="480" w:firstLineChars="200"/>
        <w:rPr>
          <w:rFonts w:ascii="宋体"/>
          <w:sz w:val="24"/>
          <w:szCs w:val="24"/>
        </w:rPr>
      </w:pPr>
    </w:p>
    <w:p w14:paraId="5E5263AA">
      <w:pPr>
        <w:spacing w:line="480" w:lineRule="exact"/>
        <w:ind w:firstLine="480" w:firstLineChars="200"/>
        <w:rPr>
          <w:rFonts w:ascii="宋体"/>
          <w:sz w:val="24"/>
          <w:szCs w:val="24"/>
        </w:rPr>
      </w:pPr>
    </w:p>
    <w:p w14:paraId="19C64834">
      <w:pPr>
        <w:spacing w:line="480" w:lineRule="exact"/>
        <w:ind w:firstLine="480" w:firstLineChars="200"/>
        <w:rPr>
          <w:rFonts w:ascii="宋体"/>
          <w:sz w:val="24"/>
          <w:szCs w:val="24"/>
        </w:rPr>
      </w:pPr>
    </w:p>
    <w:p w14:paraId="66CCA564">
      <w:pPr>
        <w:spacing w:line="360" w:lineRule="auto"/>
        <w:rPr>
          <w:b/>
          <w:bCs/>
          <w:sz w:val="24"/>
        </w:rPr>
      </w:pPr>
      <w:bookmarkStart w:id="427" w:name="_Toc28751"/>
      <w:bookmarkStart w:id="428" w:name="_Toc8156112"/>
      <w:bookmarkStart w:id="429" w:name="_Toc28988"/>
      <w:bookmarkStart w:id="430" w:name="_Toc516844648"/>
      <w:bookmarkStart w:id="431" w:name="_Toc516845596"/>
      <w:bookmarkStart w:id="432" w:name="_Toc14547"/>
      <w:r>
        <w:rPr>
          <w:rFonts w:hint="eastAsia"/>
          <w:b/>
          <w:bCs/>
          <w:sz w:val="24"/>
        </w:rPr>
        <w:t xml:space="preserve">注：1、属于监狱企业的填写，并提供证明材料。 </w:t>
      </w:r>
    </w:p>
    <w:p w14:paraId="53F1D780">
      <w:pPr>
        <w:spacing w:line="360" w:lineRule="auto"/>
        <w:rPr>
          <w:b/>
          <w:bCs/>
          <w:sz w:val="24"/>
        </w:rPr>
      </w:pPr>
      <w:r>
        <w:rPr>
          <w:rFonts w:hint="eastAsia"/>
          <w:b/>
          <w:bCs/>
          <w:sz w:val="24"/>
        </w:rPr>
        <w:t xml:space="preserve">2、若不能提供或无需提供时，该项只保留标题；格式内容未删除，但填空处均为空时视为未提供该函。 </w:t>
      </w:r>
    </w:p>
    <w:p w14:paraId="7FE53219">
      <w:pPr>
        <w:spacing w:line="360" w:lineRule="auto"/>
        <w:rPr>
          <w:b/>
          <w:bCs/>
          <w:sz w:val="24"/>
        </w:rPr>
      </w:pPr>
      <w:r>
        <w:rPr>
          <w:rFonts w:hint="eastAsia"/>
          <w:b/>
          <w:bCs/>
          <w:sz w:val="24"/>
        </w:rPr>
        <w:t>3、提供承诺函的同时即承担相应责任。</w:t>
      </w:r>
    </w:p>
    <w:p w14:paraId="16BFD8CE">
      <w:pPr>
        <w:jc w:val="center"/>
        <w:outlineLvl w:val="1"/>
        <w:rPr>
          <w:rFonts w:hint="eastAsia" w:ascii="宋体" w:hAnsi="宋体"/>
          <w:sz w:val="24"/>
        </w:rPr>
      </w:pPr>
      <w:r>
        <w:rPr>
          <w:rFonts w:hint="eastAsia"/>
        </w:rPr>
        <w:br w:type="page"/>
      </w:r>
      <w:bookmarkStart w:id="433" w:name="_Toc152656738"/>
      <w:bookmarkStart w:id="434" w:name="_Toc113608221"/>
      <w:r>
        <w:rPr>
          <w:rFonts w:hint="eastAsia" w:cs="宋体"/>
          <w:b/>
          <w:bCs/>
          <w:sz w:val="28"/>
          <w:szCs w:val="28"/>
        </w:rPr>
        <w:t>十一、</w:t>
      </w:r>
      <w:bookmarkEnd w:id="427"/>
      <w:r>
        <w:rPr>
          <w:rFonts w:cs="宋体"/>
          <w:b/>
          <w:bCs/>
          <w:sz w:val="28"/>
          <w:szCs w:val="28"/>
        </w:rPr>
        <w:t>商务评分项验证资料</w:t>
      </w:r>
      <w:bookmarkEnd w:id="433"/>
      <w:bookmarkEnd w:id="434"/>
    </w:p>
    <w:bookmarkEnd w:id="428"/>
    <w:bookmarkEnd w:id="429"/>
    <w:bookmarkEnd w:id="430"/>
    <w:bookmarkEnd w:id="431"/>
    <w:bookmarkEnd w:id="432"/>
    <w:p w14:paraId="58ED03B7">
      <w:pPr>
        <w:spacing w:line="440" w:lineRule="exact"/>
        <w:ind w:firstLine="480" w:firstLineChars="200"/>
        <w:rPr>
          <w:rFonts w:hint="eastAsia" w:ascii="宋体" w:hAnsi="宋体" w:cs="宋体"/>
          <w:kern w:val="0"/>
          <w:sz w:val="24"/>
          <w:szCs w:val="24"/>
        </w:rPr>
      </w:pPr>
    </w:p>
    <w:p w14:paraId="17B47C1E">
      <w:pPr>
        <w:spacing w:line="360" w:lineRule="auto"/>
        <w:rPr>
          <w:rFonts w:ascii="宋体"/>
          <w:sz w:val="24"/>
          <w:szCs w:val="24"/>
        </w:rPr>
      </w:pPr>
      <w:bookmarkStart w:id="435" w:name="_Toc29430"/>
      <w:bookmarkStart w:id="436" w:name="_Toc8156114"/>
      <w:r>
        <w:rPr>
          <w:rFonts w:ascii="宋体"/>
          <w:sz w:val="24"/>
          <w:szCs w:val="24"/>
        </w:rPr>
        <w:t xml:space="preserve"> </w:t>
      </w:r>
    </w:p>
    <w:p w14:paraId="020A4F50">
      <w:r>
        <w:rPr>
          <w:rFonts w:hint="eastAsia"/>
        </w:rPr>
        <w:br w:type="page"/>
      </w:r>
      <w:bookmarkEnd w:id="435"/>
    </w:p>
    <w:bookmarkEnd w:id="436"/>
    <w:p w14:paraId="60915D51">
      <w:pPr>
        <w:jc w:val="center"/>
        <w:outlineLvl w:val="1"/>
        <w:rPr>
          <w:rFonts w:cs="宋体"/>
          <w:b/>
          <w:bCs/>
          <w:sz w:val="28"/>
          <w:szCs w:val="28"/>
        </w:rPr>
      </w:pPr>
      <w:bookmarkStart w:id="437" w:name="_Toc381868160"/>
      <w:bookmarkStart w:id="438" w:name="_Toc304471089"/>
      <w:bookmarkStart w:id="439" w:name="_Toc516845592"/>
      <w:bookmarkStart w:id="440" w:name="_Toc516844644"/>
      <w:bookmarkStart w:id="441" w:name="_Toc8156109"/>
      <w:bookmarkStart w:id="442" w:name="_Toc6371"/>
      <w:bookmarkStart w:id="443" w:name="_Toc152656739"/>
      <w:bookmarkStart w:id="444" w:name="_Toc113608222"/>
      <w:r>
        <w:rPr>
          <w:rFonts w:hint="eastAsia" w:cs="宋体"/>
          <w:b/>
          <w:bCs/>
          <w:sz w:val="28"/>
          <w:szCs w:val="28"/>
        </w:rPr>
        <w:t>十</w:t>
      </w:r>
      <w:bookmarkEnd w:id="437"/>
      <w:bookmarkEnd w:id="438"/>
      <w:bookmarkEnd w:id="439"/>
      <w:bookmarkEnd w:id="440"/>
      <w:bookmarkEnd w:id="441"/>
      <w:bookmarkStart w:id="445" w:name="_Toc516844649"/>
      <w:bookmarkStart w:id="446" w:name="_Toc516845597"/>
      <w:r>
        <w:rPr>
          <w:rFonts w:hint="eastAsia" w:cs="宋体"/>
          <w:b/>
          <w:bCs/>
          <w:sz w:val="28"/>
          <w:szCs w:val="28"/>
        </w:rPr>
        <w:t>二、</w:t>
      </w:r>
      <w:bookmarkEnd w:id="442"/>
      <w:r>
        <w:rPr>
          <w:rFonts w:hint="eastAsia" w:cs="宋体"/>
          <w:b/>
          <w:bCs/>
          <w:sz w:val="28"/>
          <w:szCs w:val="28"/>
        </w:rPr>
        <w:t>技术评分项验证资料</w:t>
      </w:r>
      <w:bookmarkEnd w:id="443"/>
      <w:bookmarkEnd w:id="444"/>
    </w:p>
    <w:p w14:paraId="43B5E18B">
      <w:pPr>
        <w:widowControl/>
        <w:jc w:val="left"/>
        <w:rPr>
          <w:rFonts w:cs="宋体"/>
          <w:b/>
          <w:bCs/>
          <w:sz w:val="28"/>
          <w:szCs w:val="28"/>
        </w:rPr>
      </w:pPr>
      <w:r>
        <w:rPr>
          <w:rFonts w:cs="宋体"/>
          <w:b/>
          <w:bCs/>
          <w:sz w:val="28"/>
          <w:szCs w:val="28"/>
        </w:rPr>
        <w:br w:type="page"/>
      </w:r>
    </w:p>
    <w:p w14:paraId="339A584E">
      <w:pPr>
        <w:jc w:val="center"/>
        <w:outlineLvl w:val="1"/>
        <w:rPr>
          <w:rFonts w:cs="宋体"/>
          <w:b/>
          <w:bCs/>
          <w:sz w:val="28"/>
          <w:szCs w:val="28"/>
        </w:rPr>
      </w:pPr>
      <w:bookmarkStart w:id="447" w:name="_Toc113608223"/>
      <w:bookmarkStart w:id="448" w:name="_Toc152656740"/>
      <w:r>
        <w:rPr>
          <w:rFonts w:hint="eastAsia" w:cs="宋体"/>
          <w:b/>
          <w:bCs/>
          <w:sz w:val="28"/>
          <w:szCs w:val="28"/>
        </w:rPr>
        <w:t>十三、</w:t>
      </w:r>
      <w:bookmarkEnd w:id="447"/>
      <w:r>
        <w:rPr>
          <w:rFonts w:hint="eastAsia" w:cs="宋体"/>
          <w:b/>
          <w:bCs/>
          <w:sz w:val="28"/>
          <w:szCs w:val="28"/>
        </w:rPr>
        <w:t>综合评分项验证资料</w:t>
      </w:r>
      <w:bookmarkEnd w:id="448"/>
    </w:p>
    <w:p w14:paraId="433A74C3">
      <w:pPr>
        <w:widowControl/>
        <w:jc w:val="left"/>
        <w:rPr>
          <w:rFonts w:cs="宋体"/>
          <w:b/>
          <w:bCs/>
          <w:sz w:val="28"/>
          <w:szCs w:val="28"/>
        </w:rPr>
      </w:pPr>
      <w:r>
        <w:rPr>
          <w:rFonts w:hint="eastAsia"/>
        </w:rPr>
        <w:t>（</w:t>
      </w:r>
      <w:r>
        <w:t>格式自拟，至少应包括服务体系方面内容，内容应包括相关具有信服力的材料。</w:t>
      </w:r>
      <w:r>
        <w:rPr>
          <w:rFonts w:hint="eastAsia"/>
        </w:rPr>
        <w:t>）</w:t>
      </w:r>
    </w:p>
    <w:p w14:paraId="349E412B">
      <w:pPr>
        <w:widowControl/>
        <w:jc w:val="left"/>
        <w:rPr>
          <w:rFonts w:cs="宋体"/>
          <w:b/>
          <w:bCs/>
          <w:sz w:val="28"/>
          <w:szCs w:val="28"/>
        </w:rPr>
      </w:pPr>
      <w:r>
        <w:rPr>
          <w:rFonts w:cs="宋体"/>
          <w:b/>
          <w:bCs/>
          <w:sz w:val="28"/>
          <w:szCs w:val="28"/>
        </w:rPr>
        <w:br w:type="page"/>
      </w:r>
    </w:p>
    <w:p w14:paraId="3636F0C7">
      <w:pPr>
        <w:jc w:val="center"/>
        <w:outlineLvl w:val="1"/>
        <w:rPr>
          <w:rFonts w:cs="宋体"/>
          <w:b/>
          <w:bCs/>
          <w:sz w:val="28"/>
          <w:szCs w:val="28"/>
        </w:rPr>
      </w:pPr>
      <w:bookmarkStart w:id="449" w:name="_Toc152656741"/>
      <w:bookmarkStart w:id="450" w:name="_Toc113608224"/>
      <w:r>
        <w:rPr>
          <w:rFonts w:hint="eastAsia" w:cs="宋体"/>
          <w:b/>
          <w:bCs/>
          <w:sz w:val="28"/>
          <w:szCs w:val="28"/>
        </w:rPr>
        <w:t>十四、竞争性磋商文件</w:t>
      </w:r>
      <w:r>
        <w:rPr>
          <w:rFonts w:cs="宋体"/>
          <w:b/>
          <w:bCs/>
          <w:sz w:val="28"/>
          <w:szCs w:val="28"/>
        </w:rPr>
        <w:t>中规定的其他资料</w:t>
      </w:r>
      <w:bookmarkEnd w:id="449"/>
      <w:bookmarkEnd w:id="450"/>
    </w:p>
    <w:p w14:paraId="74BFDA2E">
      <w:pPr>
        <w:rPr>
          <w:sz w:val="24"/>
        </w:rPr>
      </w:pPr>
      <w:r>
        <w:rPr>
          <w:sz w:val="24"/>
        </w:rPr>
        <w:t>（除</w:t>
      </w:r>
      <w:r>
        <w:rPr>
          <w:rFonts w:hint="eastAsia" w:hAnsi="宋体" w:cs="宋体"/>
          <w:sz w:val="24"/>
          <w:szCs w:val="24"/>
        </w:rPr>
        <w:t>竞争性磋商文件</w:t>
      </w:r>
      <w:r>
        <w:rPr>
          <w:sz w:val="24"/>
        </w:rPr>
        <w:t>另有规定外，供应商认为需要提交的其他证明材料或资料加盖供应商</w:t>
      </w:r>
      <w:r>
        <w:rPr>
          <w:rFonts w:hint="eastAsia"/>
          <w:sz w:val="24"/>
        </w:rPr>
        <w:t>的企业电子签章后应在此项下提交。</w:t>
      </w:r>
      <w:r>
        <w:rPr>
          <w:sz w:val="24"/>
        </w:rPr>
        <w:t>）</w:t>
      </w:r>
    </w:p>
    <w:bookmarkEnd w:id="445"/>
    <w:bookmarkEnd w:id="446"/>
    <w:p w14:paraId="7F221962"/>
    <w:sectPr>
      <w:headerReference r:id="rId8" w:type="default"/>
      <w:footerReference r:id="rId9"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67E04">
    <w:pPr>
      <w:spacing w:before="74" w:line="174" w:lineRule="auto"/>
      <w:ind w:left="9575"/>
      <w:rPr>
        <w:rFonts w:eastAsia="Times New Roman"/>
        <w:sz w:val="18"/>
        <w:szCs w:val="18"/>
      </w:rPr>
    </w:pPr>
    <w:r>
      <mc:AlternateContent>
        <mc:Choice Requires="wps">
          <w:drawing>
            <wp:anchor distT="0" distB="0" distL="114300" distR="114300" simplePos="0" relativeHeight="251661312" behindDoc="0" locked="0" layoutInCell="0" allowOverlap="1">
              <wp:simplePos x="0" y="0"/>
              <wp:positionH relativeFrom="page">
                <wp:posOffset>685800</wp:posOffset>
              </wp:positionH>
              <wp:positionV relativeFrom="page">
                <wp:posOffset>9911715</wp:posOffset>
              </wp:positionV>
              <wp:extent cx="6279515" cy="6350"/>
              <wp:effectExtent l="0" t="0" r="0" b="0"/>
              <wp:wrapNone/>
              <wp:docPr id="4" name="任意多边形 1031"/>
              <wp:cNvGraphicFramePr/>
              <a:graphic xmlns:a="http://schemas.openxmlformats.org/drawingml/2006/main">
                <a:graphicData uri="http://schemas.microsoft.com/office/word/2010/wordprocessingShape">
                  <wps:wsp>
                    <wps:cNvSpPr/>
                    <wps:spPr>
                      <a:xfrm>
                        <a:off x="0" y="0"/>
                        <a:ext cx="6279515" cy="6350"/>
                      </a:xfrm>
                      <a:custGeom>
                        <a:avLst/>
                        <a:gdLst/>
                        <a:ahLst/>
                        <a:cxnLst/>
                        <a:rect l="0" t="0" r="0" b="0"/>
                        <a:pathLst>
                          <a:path w="9889" h="10">
                            <a:moveTo>
                              <a:pt x="0" y="0"/>
                            </a:moveTo>
                            <a:lnTo>
                              <a:pt x="9888" y="0"/>
                            </a:lnTo>
                            <a:lnTo>
                              <a:pt x="9888" y="9"/>
                            </a:lnTo>
                            <a:lnTo>
                              <a:pt x="0" y="9"/>
                            </a:lnTo>
                            <a:lnTo>
                              <a:pt x="0" y="0"/>
                            </a:lnTo>
                            <a:close/>
                          </a:path>
                        </a:pathLst>
                      </a:custGeom>
                      <a:solidFill>
                        <a:srgbClr val="000000"/>
                      </a:solidFill>
                      <a:ln>
                        <a:noFill/>
                      </a:ln>
                    </wps:spPr>
                    <wps:bodyPr upright="1"/>
                  </wps:wsp>
                </a:graphicData>
              </a:graphic>
            </wp:anchor>
          </w:drawing>
        </mc:Choice>
        <mc:Fallback>
          <w:pict>
            <v:shape id="任意多边形 1031" o:spid="_x0000_s1026" o:spt="100" style="position:absolute;left:0pt;margin-left:54pt;margin-top:780.45pt;height:0.5pt;width:494.45pt;mso-position-horizontal-relative:page;mso-position-vertical-relative:page;z-index:251661312;mso-width-relative:page;mso-height-relative:page;" fillcolor="#000000" filled="t" stroked="f" coordsize="9889,10" o:allowincell="f" o:gfxdata="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ebZPtgAAAAOAQAA&#10;DwAAAAAAAAABACAAAAAiAAAAZHJzL2Rvd25yZXYueG1sUEsBAhQAFAAAAAgAh07iQGKmLggZAgAA&#10;nQQAAA4AAAAAAAAAAQAgAAAAJwEAAGRycy9lMm9Eb2MueG1sUEsFBgAAAAAGAAYAWQEAALIFAAAA&#10;AA==&#10;" path="m0,0l9888,0,9888,9,0,9,0,0xe">
              <v:fill on="t" focussize="0,0"/>
              <v:stroke on="f"/>
              <v:imagedata o:title=""/>
              <o:lock v:ext="edit" aspectratio="f"/>
            </v:shape>
          </w:pict>
        </mc:Fallback>
      </mc:AlternateContent>
    </w:r>
    <w:r>
      <w:rPr>
        <w:rFonts w:eastAsia="Times New Roman"/>
        <w:spacing w:val="-4"/>
        <w:sz w:val="18"/>
        <w:szCs w:val="18"/>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0589">
    <w:pPr>
      <w:spacing w:before="72" w:line="177" w:lineRule="auto"/>
      <w:ind w:left="9575"/>
      <w:rPr>
        <w:rFonts w:eastAsia="Times New Roman"/>
        <w:sz w:val="18"/>
        <w:szCs w:val="18"/>
      </w:rPr>
    </w:pPr>
    <w:r>
      <mc:AlternateContent>
        <mc:Choice Requires="wps">
          <w:drawing>
            <wp:anchor distT="0" distB="0" distL="114300" distR="114300" simplePos="0" relativeHeight="251663360" behindDoc="0" locked="0" layoutInCell="0" allowOverlap="1">
              <wp:simplePos x="0" y="0"/>
              <wp:positionH relativeFrom="page">
                <wp:posOffset>685800</wp:posOffset>
              </wp:positionH>
              <wp:positionV relativeFrom="page">
                <wp:posOffset>9911715</wp:posOffset>
              </wp:positionV>
              <wp:extent cx="6279515" cy="6350"/>
              <wp:effectExtent l="0" t="0" r="0" b="0"/>
              <wp:wrapNone/>
              <wp:docPr id="3" name="任意多边形 1030"/>
              <wp:cNvGraphicFramePr/>
              <a:graphic xmlns:a="http://schemas.openxmlformats.org/drawingml/2006/main">
                <a:graphicData uri="http://schemas.microsoft.com/office/word/2010/wordprocessingShape">
                  <wps:wsp>
                    <wps:cNvSpPr/>
                    <wps:spPr>
                      <a:xfrm>
                        <a:off x="0" y="0"/>
                        <a:ext cx="6279515" cy="6350"/>
                      </a:xfrm>
                      <a:custGeom>
                        <a:avLst/>
                        <a:gdLst/>
                        <a:ahLst/>
                        <a:cxnLst/>
                        <a:rect l="0" t="0" r="0" b="0"/>
                        <a:pathLst>
                          <a:path w="9889" h="10">
                            <a:moveTo>
                              <a:pt x="0" y="0"/>
                            </a:moveTo>
                            <a:lnTo>
                              <a:pt x="9888" y="0"/>
                            </a:lnTo>
                            <a:lnTo>
                              <a:pt x="9888" y="9"/>
                            </a:lnTo>
                            <a:lnTo>
                              <a:pt x="0" y="9"/>
                            </a:lnTo>
                            <a:lnTo>
                              <a:pt x="0" y="0"/>
                            </a:lnTo>
                            <a:close/>
                          </a:path>
                        </a:pathLst>
                      </a:custGeom>
                      <a:solidFill>
                        <a:srgbClr val="000000"/>
                      </a:solidFill>
                      <a:ln>
                        <a:noFill/>
                      </a:ln>
                    </wps:spPr>
                    <wps:bodyPr upright="1"/>
                  </wps:wsp>
                </a:graphicData>
              </a:graphic>
            </wp:anchor>
          </w:drawing>
        </mc:Choice>
        <mc:Fallback>
          <w:pict>
            <v:shape id="任意多边形 1030" o:spid="_x0000_s1026" o:spt="100" style="position:absolute;left:0pt;margin-left:54pt;margin-top:780.45pt;height:0.5pt;width:494.45pt;mso-position-horizontal-relative:page;mso-position-vertical-relative:page;z-index:251663360;mso-width-relative:page;mso-height-relative:page;" fillcolor="#000000" filled="t" stroked="f" coordsize="9889,10" o:allowincell="f" o:gfxdata="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m2T7YAAAADgEAAA8A&#10;AAAAAAAAAQAgAAAAIgAAAGRycy9kb3ducmV2LnhtbFBLAQIUABQAAAAIAIdO4kDaaYlhFwIAAJ0E&#10;AAAOAAAAAAAAAAEAIAAAACcBAABkcnMvZTJvRG9jLnhtbFBLBQYAAAAABgAGAFkBAACwBQAAAAA=&#10;" path="m0,0l9888,0,9888,9,0,9,0,0xe">
              <v:fill on="t" focussize="0,0"/>
              <v:stroke on="f"/>
              <v:imagedata o:title=""/>
              <o:lock v:ext="edit" aspectratio="f"/>
            </v:shape>
          </w:pict>
        </mc:Fallback>
      </mc:AlternateContent>
    </w:r>
    <w:r>
      <w:rPr>
        <w:rFonts w:eastAsia="Times New Roman"/>
        <w:spacing w:val="-4"/>
        <w:sz w:val="18"/>
        <w:szCs w:val="18"/>
      </w:rPr>
      <w:t>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DE2C">
    <w:pPr>
      <w:spacing w:before="72" w:line="177" w:lineRule="auto"/>
      <w:ind w:left="9575"/>
      <w:rPr>
        <w:rFonts w:eastAsia="Times New Roman"/>
        <w:sz w:val="18"/>
        <w:szCs w:val="18"/>
      </w:rPr>
    </w:pPr>
    <w:r>
      <mc:AlternateContent>
        <mc:Choice Requires="wps">
          <w:drawing>
            <wp:anchor distT="0" distB="0" distL="114300" distR="114300" simplePos="0" relativeHeight="251664384" behindDoc="0" locked="0" layoutInCell="0" allowOverlap="1">
              <wp:simplePos x="0" y="0"/>
              <wp:positionH relativeFrom="page">
                <wp:posOffset>685800</wp:posOffset>
              </wp:positionH>
              <wp:positionV relativeFrom="page">
                <wp:posOffset>9911715</wp:posOffset>
              </wp:positionV>
              <wp:extent cx="6279515" cy="6350"/>
              <wp:effectExtent l="0" t="0" r="0" b="0"/>
              <wp:wrapNone/>
              <wp:docPr id="6" name="任意多边形 1034"/>
              <wp:cNvGraphicFramePr/>
              <a:graphic xmlns:a="http://schemas.openxmlformats.org/drawingml/2006/main">
                <a:graphicData uri="http://schemas.microsoft.com/office/word/2010/wordprocessingShape">
                  <wps:wsp>
                    <wps:cNvSpPr/>
                    <wps:spPr>
                      <a:xfrm>
                        <a:off x="0" y="0"/>
                        <a:ext cx="6279515" cy="6350"/>
                      </a:xfrm>
                      <a:custGeom>
                        <a:avLst/>
                        <a:gdLst/>
                        <a:ahLst/>
                        <a:cxnLst/>
                        <a:rect l="0" t="0" r="0" b="0"/>
                        <a:pathLst>
                          <a:path w="9889" h="10">
                            <a:moveTo>
                              <a:pt x="0" y="0"/>
                            </a:moveTo>
                            <a:lnTo>
                              <a:pt x="9888" y="0"/>
                            </a:lnTo>
                            <a:lnTo>
                              <a:pt x="9888" y="9"/>
                            </a:lnTo>
                            <a:lnTo>
                              <a:pt x="0" y="9"/>
                            </a:lnTo>
                            <a:lnTo>
                              <a:pt x="0" y="0"/>
                            </a:lnTo>
                            <a:close/>
                          </a:path>
                        </a:pathLst>
                      </a:custGeom>
                      <a:solidFill>
                        <a:srgbClr val="000000"/>
                      </a:solidFill>
                      <a:ln>
                        <a:noFill/>
                      </a:ln>
                    </wps:spPr>
                    <wps:bodyPr upright="1"/>
                  </wps:wsp>
                </a:graphicData>
              </a:graphic>
            </wp:anchor>
          </w:drawing>
        </mc:Choice>
        <mc:Fallback>
          <w:pict>
            <v:shape id="任意多边形 1034" o:spid="_x0000_s1026" o:spt="100" style="position:absolute;left:0pt;margin-left:54pt;margin-top:780.45pt;height:0.5pt;width:494.45pt;mso-position-horizontal-relative:page;mso-position-vertical-relative:page;z-index:251664384;mso-width-relative:page;mso-height-relative:page;" fillcolor="#000000" filled="t" stroked="f" coordsize="9889,10" o:allowincell="f" o:gfxdata="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ebZPtgAAAAOAQAA&#10;DwAAAAAAAAABACAAAAAiAAAAZHJzL2Rvd25yZXYueG1sUEsBAhQAFAAAAAgAh07iQCpr+IUZAgAA&#10;nQQAAA4AAAAAAAAAAQAgAAAAJwEAAGRycy9lMm9Eb2MueG1sUEsFBgAAAAAGAAYAWQEAALIFAAAA&#10;AA==&#10;" path="m0,0l9888,0,9888,9,0,9,0,0xe">
              <v:fill on="t" focussize="0,0"/>
              <v:stroke on="f"/>
              <v:imagedata o:title=""/>
              <o:lock v:ext="edit" aspectratio="f"/>
            </v:shape>
          </w:pict>
        </mc:Fallback>
      </mc:AlternateContent>
    </w:r>
    <w:r>
      <w:rPr>
        <w:rFonts w:eastAsia="Times New Roman"/>
        <w:spacing w:val="-4"/>
        <w:sz w:val="18"/>
        <w:szCs w:val="18"/>
      </w:rPr>
      <w:t>59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C46A">
    <w:pPr>
      <w:pStyle w:val="17"/>
      <w:pBdr>
        <w:top w:val="single" w:color="auto" w:sz="4" w:space="1"/>
      </w:pBdr>
      <w:tabs>
        <w:tab w:val="center" w:pos="4153"/>
        <w:tab w:val="left" w:pos="9638"/>
        <w:tab w:val="right" w:pos="9781"/>
      </w:tabs>
      <w:ind w:right="-14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E13767">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6CE1376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B780">
    <w:pPr>
      <w:spacing w:before="48" w:line="219" w:lineRule="auto"/>
      <w:ind w:left="4174"/>
      <w:rPr>
        <w:rFonts w:hint="eastAsia" w:ascii="宋体" w:hAnsi="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685800</wp:posOffset>
              </wp:positionH>
              <wp:positionV relativeFrom="page">
                <wp:posOffset>701040</wp:posOffset>
              </wp:positionV>
              <wp:extent cx="6188710" cy="9525"/>
              <wp:effectExtent l="0" t="0" r="0" b="0"/>
              <wp:wrapNone/>
              <wp:docPr id="2" name="任意多边形 1029"/>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任意多边形 1029" o:spid="_x0000_s1026" o:spt="100" style="position:absolute;left:0pt;margin-left:54pt;margin-top:55.2pt;height:0.75pt;width:487.3pt;mso-position-horizontal-relative:page;mso-position-vertical-relative:page;z-index:251662336;mso-width-relative:page;mso-height-relative:page;" fillcolor="#000000" filled="t" stroked="f" coordsize="9745,15" o:allowincell="f" o:gfxdata="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0FJ2AAAAAwB&#10;AAAPAAAAAAAAAAEAIAAAACIAAABkcnMvZG93bnJldi54bWxQSwECFAAUAAAACACHTuJAG7xpvRsC&#10;AACfBAAADgAAAAAAAAABACAAAAAnAQAAZHJzL2Uyb0RvYy54bWxQSwUGAAAAAAYABgBZAQAAtAUA&#10;AAAA&#10;" path="m0,0l9745,0,9745,14,0,14,0,0xe">
              <v:fill on="t" focussize="0,0"/>
              <v:stroke on="f"/>
              <v:imagedata o:title=""/>
              <o:lock v:ext="edit" aspectratio="f"/>
            </v:shape>
          </w:pict>
        </mc:Fallback>
      </mc:AlternateContent>
    </w:r>
    <w:r>
      <w:rPr>
        <w:rFonts w:ascii="宋体" w:hAnsi="宋体" w:cs="宋体"/>
        <w:sz w:val="18"/>
        <w:szCs w:val="18"/>
      </w:rPr>
      <w:t>新郑市广播电视信息网络中心有线电视高清化改造</w:t>
    </w:r>
    <w:r>
      <w:rPr>
        <w:rFonts w:ascii="宋体" w:hAnsi="宋体" w:cs="宋体"/>
        <w:spacing w:val="-1"/>
        <w:sz w:val="18"/>
        <w:szCs w:val="18"/>
      </w:rPr>
      <w:t>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2A75">
    <w:pPr>
      <w:spacing w:before="48" w:line="219" w:lineRule="auto"/>
      <w:ind w:left="4174"/>
      <w:rPr>
        <w:rFonts w:hint="eastAsia" w:ascii="宋体" w:hAnsi="宋体" w:cs="宋体"/>
        <w:sz w:val="18"/>
        <w:szCs w:val="18"/>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701040</wp:posOffset>
              </wp:positionV>
              <wp:extent cx="6188710" cy="9525"/>
              <wp:effectExtent l="0" t="0" r="0" b="0"/>
              <wp:wrapNone/>
              <wp:docPr id="5" name="任意多边形 1033"/>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任意多边形 1033" o:spid="_x0000_s1026" o:spt="100" style="position:absolute;left:0pt;margin-left:54pt;margin-top:55.2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0FJ2AAAAAwB&#10;AAAPAAAAAAAAAAEAIAAAACIAAABkcnMvZG93bnJldi54bWxQSwECFAAUAAAACACHTuJATn3W5xsC&#10;AACfBAAADgAAAAAAAAABACAAAAAnAQAAZHJzL2Uyb0RvYy54bWxQSwUGAAAAAAYABgBZAQAAtAUA&#10;AAAA&#10;" path="m0,0l9745,0,974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8404">
    <w:pPr>
      <w:pStyle w:val="18"/>
      <w:jc w:val="right"/>
    </w:pPr>
    <w:r>
      <w:rPr>
        <w:rFonts w:hint="eastAsia"/>
      </w:rPr>
      <w:t>新郑市新建路社区卫生服务中心建设医养结合健康管理中心项目竞争性磋商文件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ADC7"/>
    <w:multiLevelType w:val="singleLevel"/>
    <w:tmpl w:val="8FC0AD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90"/>
    <w:rsid w:val="00001063"/>
    <w:rsid w:val="00004C32"/>
    <w:rsid w:val="00012A8D"/>
    <w:rsid w:val="00012B0B"/>
    <w:rsid w:val="00012E77"/>
    <w:rsid w:val="0001392E"/>
    <w:rsid w:val="00016577"/>
    <w:rsid w:val="000210BF"/>
    <w:rsid w:val="00025970"/>
    <w:rsid w:val="00027A18"/>
    <w:rsid w:val="00027F01"/>
    <w:rsid w:val="000317E3"/>
    <w:rsid w:val="00033F0D"/>
    <w:rsid w:val="00035091"/>
    <w:rsid w:val="0004486E"/>
    <w:rsid w:val="00052C16"/>
    <w:rsid w:val="00055E3C"/>
    <w:rsid w:val="00060851"/>
    <w:rsid w:val="00060E60"/>
    <w:rsid w:val="000639B4"/>
    <w:rsid w:val="00072DE9"/>
    <w:rsid w:val="0007449C"/>
    <w:rsid w:val="00075101"/>
    <w:rsid w:val="0008043C"/>
    <w:rsid w:val="00085803"/>
    <w:rsid w:val="0008751C"/>
    <w:rsid w:val="00087A0F"/>
    <w:rsid w:val="00090715"/>
    <w:rsid w:val="00090B18"/>
    <w:rsid w:val="000954A6"/>
    <w:rsid w:val="000A06F2"/>
    <w:rsid w:val="000A35FD"/>
    <w:rsid w:val="000A4445"/>
    <w:rsid w:val="000B32B7"/>
    <w:rsid w:val="000B4319"/>
    <w:rsid w:val="000B45C1"/>
    <w:rsid w:val="000B769F"/>
    <w:rsid w:val="000C1F5B"/>
    <w:rsid w:val="000C2C8B"/>
    <w:rsid w:val="000C2EE8"/>
    <w:rsid w:val="000D3B0C"/>
    <w:rsid w:val="000E1129"/>
    <w:rsid w:val="000E25DA"/>
    <w:rsid w:val="000E2782"/>
    <w:rsid w:val="000E7B80"/>
    <w:rsid w:val="000F7577"/>
    <w:rsid w:val="0010666B"/>
    <w:rsid w:val="00107CF8"/>
    <w:rsid w:val="00110078"/>
    <w:rsid w:val="00113BA6"/>
    <w:rsid w:val="00114F3C"/>
    <w:rsid w:val="00115938"/>
    <w:rsid w:val="00116ACA"/>
    <w:rsid w:val="001233D3"/>
    <w:rsid w:val="00126616"/>
    <w:rsid w:val="00130612"/>
    <w:rsid w:val="00131470"/>
    <w:rsid w:val="00131DDC"/>
    <w:rsid w:val="0013460E"/>
    <w:rsid w:val="00134B90"/>
    <w:rsid w:val="0013649C"/>
    <w:rsid w:val="001404E9"/>
    <w:rsid w:val="00141A56"/>
    <w:rsid w:val="00143B89"/>
    <w:rsid w:val="00143FD3"/>
    <w:rsid w:val="001465B8"/>
    <w:rsid w:val="00151358"/>
    <w:rsid w:val="00156A81"/>
    <w:rsid w:val="00156F84"/>
    <w:rsid w:val="00161996"/>
    <w:rsid w:val="001637BC"/>
    <w:rsid w:val="0017118A"/>
    <w:rsid w:val="00172537"/>
    <w:rsid w:val="001734F4"/>
    <w:rsid w:val="00173791"/>
    <w:rsid w:val="00173B0D"/>
    <w:rsid w:val="001743BD"/>
    <w:rsid w:val="001745C8"/>
    <w:rsid w:val="00174640"/>
    <w:rsid w:val="00180076"/>
    <w:rsid w:val="00180FDD"/>
    <w:rsid w:val="00183353"/>
    <w:rsid w:val="00190DF8"/>
    <w:rsid w:val="00191D8C"/>
    <w:rsid w:val="001A430B"/>
    <w:rsid w:val="001A7080"/>
    <w:rsid w:val="001B22B1"/>
    <w:rsid w:val="001B2743"/>
    <w:rsid w:val="001B6493"/>
    <w:rsid w:val="001B7686"/>
    <w:rsid w:val="001C4258"/>
    <w:rsid w:val="001C456D"/>
    <w:rsid w:val="001C767C"/>
    <w:rsid w:val="001D23A6"/>
    <w:rsid w:val="001D2480"/>
    <w:rsid w:val="001D39E6"/>
    <w:rsid w:val="001D3A32"/>
    <w:rsid w:val="001D3FE5"/>
    <w:rsid w:val="001D511C"/>
    <w:rsid w:val="001D5679"/>
    <w:rsid w:val="001D5B47"/>
    <w:rsid w:val="001E6C2E"/>
    <w:rsid w:val="001F0830"/>
    <w:rsid w:val="001F1E94"/>
    <w:rsid w:val="001F2391"/>
    <w:rsid w:val="001F3C52"/>
    <w:rsid w:val="001F4AAF"/>
    <w:rsid w:val="00206D3B"/>
    <w:rsid w:val="002079D8"/>
    <w:rsid w:val="0021234A"/>
    <w:rsid w:val="00213937"/>
    <w:rsid w:val="00216791"/>
    <w:rsid w:val="00221134"/>
    <w:rsid w:val="00223B31"/>
    <w:rsid w:val="00224CEC"/>
    <w:rsid w:val="002264F3"/>
    <w:rsid w:val="00226F7A"/>
    <w:rsid w:val="002272B5"/>
    <w:rsid w:val="0023098B"/>
    <w:rsid w:val="00230BC5"/>
    <w:rsid w:val="00232160"/>
    <w:rsid w:val="00236ED6"/>
    <w:rsid w:val="00240DFC"/>
    <w:rsid w:val="0024184B"/>
    <w:rsid w:val="002422A3"/>
    <w:rsid w:val="00243707"/>
    <w:rsid w:val="00244250"/>
    <w:rsid w:val="00253B44"/>
    <w:rsid w:val="0025438D"/>
    <w:rsid w:val="00255356"/>
    <w:rsid w:val="002604A2"/>
    <w:rsid w:val="00261CE6"/>
    <w:rsid w:val="0026481A"/>
    <w:rsid w:val="002648F3"/>
    <w:rsid w:val="00264F40"/>
    <w:rsid w:val="00265BE4"/>
    <w:rsid w:val="0027089E"/>
    <w:rsid w:val="00272465"/>
    <w:rsid w:val="00273799"/>
    <w:rsid w:val="00282C5A"/>
    <w:rsid w:val="00282F86"/>
    <w:rsid w:val="00286016"/>
    <w:rsid w:val="002873E4"/>
    <w:rsid w:val="0029060D"/>
    <w:rsid w:val="002947A6"/>
    <w:rsid w:val="00294EA0"/>
    <w:rsid w:val="0029704D"/>
    <w:rsid w:val="002A0E64"/>
    <w:rsid w:val="002A19DF"/>
    <w:rsid w:val="002A2376"/>
    <w:rsid w:val="002A3696"/>
    <w:rsid w:val="002A3F88"/>
    <w:rsid w:val="002A6BF4"/>
    <w:rsid w:val="002A7BDD"/>
    <w:rsid w:val="002B062E"/>
    <w:rsid w:val="002B1DEA"/>
    <w:rsid w:val="002B4EE4"/>
    <w:rsid w:val="002C03B8"/>
    <w:rsid w:val="002C0CDA"/>
    <w:rsid w:val="002C1800"/>
    <w:rsid w:val="002C2342"/>
    <w:rsid w:val="002C2A59"/>
    <w:rsid w:val="002C2A7E"/>
    <w:rsid w:val="002C46BC"/>
    <w:rsid w:val="002C5D8D"/>
    <w:rsid w:val="002D31C5"/>
    <w:rsid w:val="002D5014"/>
    <w:rsid w:val="002D518B"/>
    <w:rsid w:val="002D54B5"/>
    <w:rsid w:val="002D7003"/>
    <w:rsid w:val="002D7D78"/>
    <w:rsid w:val="002E3714"/>
    <w:rsid w:val="002E4431"/>
    <w:rsid w:val="002E4E29"/>
    <w:rsid w:val="002F4B36"/>
    <w:rsid w:val="002F7DA2"/>
    <w:rsid w:val="0030075A"/>
    <w:rsid w:val="00304117"/>
    <w:rsid w:val="00305AAC"/>
    <w:rsid w:val="003072C1"/>
    <w:rsid w:val="0031002B"/>
    <w:rsid w:val="003100BE"/>
    <w:rsid w:val="00312163"/>
    <w:rsid w:val="00312F7F"/>
    <w:rsid w:val="00316A28"/>
    <w:rsid w:val="0032082C"/>
    <w:rsid w:val="003218B1"/>
    <w:rsid w:val="00326E3A"/>
    <w:rsid w:val="00327C9C"/>
    <w:rsid w:val="003320EA"/>
    <w:rsid w:val="00332D99"/>
    <w:rsid w:val="003342FC"/>
    <w:rsid w:val="00334328"/>
    <w:rsid w:val="00340F85"/>
    <w:rsid w:val="00341105"/>
    <w:rsid w:val="00342FC8"/>
    <w:rsid w:val="003441A0"/>
    <w:rsid w:val="00345C77"/>
    <w:rsid w:val="0035228E"/>
    <w:rsid w:val="00353C48"/>
    <w:rsid w:val="003544D6"/>
    <w:rsid w:val="003548C0"/>
    <w:rsid w:val="00362E28"/>
    <w:rsid w:val="0036706A"/>
    <w:rsid w:val="0037089B"/>
    <w:rsid w:val="0037244D"/>
    <w:rsid w:val="00374D02"/>
    <w:rsid w:val="0038219E"/>
    <w:rsid w:val="00384398"/>
    <w:rsid w:val="0039054D"/>
    <w:rsid w:val="00391FAF"/>
    <w:rsid w:val="00395E29"/>
    <w:rsid w:val="00397246"/>
    <w:rsid w:val="003A4FFD"/>
    <w:rsid w:val="003B1D3F"/>
    <w:rsid w:val="003B779F"/>
    <w:rsid w:val="003C043E"/>
    <w:rsid w:val="003C20D4"/>
    <w:rsid w:val="003D1F6E"/>
    <w:rsid w:val="003D4212"/>
    <w:rsid w:val="003D52A4"/>
    <w:rsid w:val="003D6171"/>
    <w:rsid w:val="003E0176"/>
    <w:rsid w:val="003E095B"/>
    <w:rsid w:val="003E3B09"/>
    <w:rsid w:val="003E6D0E"/>
    <w:rsid w:val="003E709B"/>
    <w:rsid w:val="003E74B1"/>
    <w:rsid w:val="003F1A34"/>
    <w:rsid w:val="003F2527"/>
    <w:rsid w:val="003F42D9"/>
    <w:rsid w:val="003F54C2"/>
    <w:rsid w:val="003F572A"/>
    <w:rsid w:val="00400569"/>
    <w:rsid w:val="00405DC5"/>
    <w:rsid w:val="00407C0D"/>
    <w:rsid w:val="004115C0"/>
    <w:rsid w:val="00420DDB"/>
    <w:rsid w:val="004238D6"/>
    <w:rsid w:val="0043728B"/>
    <w:rsid w:val="004442BD"/>
    <w:rsid w:val="004443E7"/>
    <w:rsid w:val="00452428"/>
    <w:rsid w:val="00463F66"/>
    <w:rsid w:val="00471900"/>
    <w:rsid w:val="00475832"/>
    <w:rsid w:val="0047628E"/>
    <w:rsid w:val="00477D12"/>
    <w:rsid w:val="00480C64"/>
    <w:rsid w:val="00485B35"/>
    <w:rsid w:val="0049105C"/>
    <w:rsid w:val="00496622"/>
    <w:rsid w:val="00496A1F"/>
    <w:rsid w:val="004A30FB"/>
    <w:rsid w:val="004A314B"/>
    <w:rsid w:val="004A35C1"/>
    <w:rsid w:val="004A3D03"/>
    <w:rsid w:val="004B3637"/>
    <w:rsid w:val="004B7A75"/>
    <w:rsid w:val="004C3AA9"/>
    <w:rsid w:val="004C5F55"/>
    <w:rsid w:val="004C6272"/>
    <w:rsid w:val="004C6694"/>
    <w:rsid w:val="004D1E1A"/>
    <w:rsid w:val="004D2424"/>
    <w:rsid w:val="004D2464"/>
    <w:rsid w:val="004D78EB"/>
    <w:rsid w:val="004E14E4"/>
    <w:rsid w:val="004E5743"/>
    <w:rsid w:val="004F1CFA"/>
    <w:rsid w:val="004F2830"/>
    <w:rsid w:val="004F368A"/>
    <w:rsid w:val="004F3940"/>
    <w:rsid w:val="004F66C7"/>
    <w:rsid w:val="00501CC6"/>
    <w:rsid w:val="00510037"/>
    <w:rsid w:val="00511632"/>
    <w:rsid w:val="005119EF"/>
    <w:rsid w:val="0051621C"/>
    <w:rsid w:val="005176F8"/>
    <w:rsid w:val="005203D7"/>
    <w:rsid w:val="00525E06"/>
    <w:rsid w:val="005305A4"/>
    <w:rsid w:val="0053590A"/>
    <w:rsid w:val="00537DF5"/>
    <w:rsid w:val="00541ED5"/>
    <w:rsid w:val="0054229C"/>
    <w:rsid w:val="00542F6A"/>
    <w:rsid w:val="00545CA9"/>
    <w:rsid w:val="005500C8"/>
    <w:rsid w:val="00551271"/>
    <w:rsid w:val="0055129B"/>
    <w:rsid w:val="005512CB"/>
    <w:rsid w:val="00557942"/>
    <w:rsid w:val="00565276"/>
    <w:rsid w:val="00571407"/>
    <w:rsid w:val="00573DCD"/>
    <w:rsid w:val="00581F5A"/>
    <w:rsid w:val="00585D19"/>
    <w:rsid w:val="00590712"/>
    <w:rsid w:val="0059110C"/>
    <w:rsid w:val="00592664"/>
    <w:rsid w:val="00593C57"/>
    <w:rsid w:val="00594DC5"/>
    <w:rsid w:val="00597520"/>
    <w:rsid w:val="00597A5E"/>
    <w:rsid w:val="00597C64"/>
    <w:rsid w:val="005A26FD"/>
    <w:rsid w:val="005A495C"/>
    <w:rsid w:val="005A6D13"/>
    <w:rsid w:val="005A7206"/>
    <w:rsid w:val="005B0006"/>
    <w:rsid w:val="005B08B7"/>
    <w:rsid w:val="005B1BE8"/>
    <w:rsid w:val="005B7B6C"/>
    <w:rsid w:val="005C2B80"/>
    <w:rsid w:val="005C7850"/>
    <w:rsid w:val="005D250C"/>
    <w:rsid w:val="005D37A3"/>
    <w:rsid w:val="005D5354"/>
    <w:rsid w:val="005D584E"/>
    <w:rsid w:val="005D68DE"/>
    <w:rsid w:val="005D6914"/>
    <w:rsid w:val="005D6AF4"/>
    <w:rsid w:val="005E10E6"/>
    <w:rsid w:val="005E637D"/>
    <w:rsid w:val="005E7574"/>
    <w:rsid w:val="005F377B"/>
    <w:rsid w:val="005F4AD8"/>
    <w:rsid w:val="00600D25"/>
    <w:rsid w:val="00602C81"/>
    <w:rsid w:val="0061063A"/>
    <w:rsid w:val="0061528B"/>
    <w:rsid w:val="00615579"/>
    <w:rsid w:val="00617FA1"/>
    <w:rsid w:val="00620579"/>
    <w:rsid w:val="006232F8"/>
    <w:rsid w:val="006253F6"/>
    <w:rsid w:val="006268B6"/>
    <w:rsid w:val="00631808"/>
    <w:rsid w:val="00640218"/>
    <w:rsid w:val="006410AC"/>
    <w:rsid w:val="00647F43"/>
    <w:rsid w:val="006500FF"/>
    <w:rsid w:val="00653D9A"/>
    <w:rsid w:val="00655706"/>
    <w:rsid w:val="0065571D"/>
    <w:rsid w:val="006574B5"/>
    <w:rsid w:val="00657726"/>
    <w:rsid w:val="0066290B"/>
    <w:rsid w:val="00666C98"/>
    <w:rsid w:val="0066748A"/>
    <w:rsid w:val="006711BF"/>
    <w:rsid w:val="0067207B"/>
    <w:rsid w:val="0067402B"/>
    <w:rsid w:val="00677C13"/>
    <w:rsid w:val="00680840"/>
    <w:rsid w:val="00682B84"/>
    <w:rsid w:val="00687C0F"/>
    <w:rsid w:val="00692809"/>
    <w:rsid w:val="006B04A5"/>
    <w:rsid w:val="006B465E"/>
    <w:rsid w:val="006B7330"/>
    <w:rsid w:val="006B77C7"/>
    <w:rsid w:val="006C572C"/>
    <w:rsid w:val="006C7AA8"/>
    <w:rsid w:val="006C7AF2"/>
    <w:rsid w:val="006D023D"/>
    <w:rsid w:val="006D48CB"/>
    <w:rsid w:val="006D4BCF"/>
    <w:rsid w:val="006D523E"/>
    <w:rsid w:val="006D6368"/>
    <w:rsid w:val="006D7243"/>
    <w:rsid w:val="006E02C1"/>
    <w:rsid w:val="006E3572"/>
    <w:rsid w:val="006E36C3"/>
    <w:rsid w:val="006F05F8"/>
    <w:rsid w:val="006F21BB"/>
    <w:rsid w:val="006F59A4"/>
    <w:rsid w:val="00701B9A"/>
    <w:rsid w:val="007020E8"/>
    <w:rsid w:val="007025A8"/>
    <w:rsid w:val="00705CA2"/>
    <w:rsid w:val="007108C4"/>
    <w:rsid w:val="0071256D"/>
    <w:rsid w:val="0071434A"/>
    <w:rsid w:val="00714A6D"/>
    <w:rsid w:val="0071585F"/>
    <w:rsid w:val="007251A5"/>
    <w:rsid w:val="00727F0F"/>
    <w:rsid w:val="00731029"/>
    <w:rsid w:val="00731E0B"/>
    <w:rsid w:val="007346FE"/>
    <w:rsid w:val="00736C0A"/>
    <w:rsid w:val="00742B9B"/>
    <w:rsid w:val="0074526A"/>
    <w:rsid w:val="00746CD2"/>
    <w:rsid w:val="0074773E"/>
    <w:rsid w:val="00755F69"/>
    <w:rsid w:val="00760686"/>
    <w:rsid w:val="007629F2"/>
    <w:rsid w:val="0076360A"/>
    <w:rsid w:val="00766DBC"/>
    <w:rsid w:val="00772657"/>
    <w:rsid w:val="00773B5A"/>
    <w:rsid w:val="00773F14"/>
    <w:rsid w:val="00781838"/>
    <w:rsid w:val="00791263"/>
    <w:rsid w:val="00793271"/>
    <w:rsid w:val="00794224"/>
    <w:rsid w:val="007A0752"/>
    <w:rsid w:val="007A0A9C"/>
    <w:rsid w:val="007A36DD"/>
    <w:rsid w:val="007A466F"/>
    <w:rsid w:val="007B71E5"/>
    <w:rsid w:val="007C0DEE"/>
    <w:rsid w:val="007C2AFE"/>
    <w:rsid w:val="007C4004"/>
    <w:rsid w:val="007C4233"/>
    <w:rsid w:val="007C4A93"/>
    <w:rsid w:val="007C4B47"/>
    <w:rsid w:val="007C7567"/>
    <w:rsid w:val="007D39C9"/>
    <w:rsid w:val="007D504F"/>
    <w:rsid w:val="007D6E62"/>
    <w:rsid w:val="007D71B9"/>
    <w:rsid w:val="007D7505"/>
    <w:rsid w:val="007E24A5"/>
    <w:rsid w:val="007E4353"/>
    <w:rsid w:val="007E5A28"/>
    <w:rsid w:val="007E6443"/>
    <w:rsid w:val="007E66B4"/>
    <w:rsid w:val="007F1C00"/>
    <w:rsid w:val="007F249C"/>
    <w:rsid w:val="007F3DFA"/>
    <w:rsid w:val="007F7388"/>
    <w:rsid w:val="00801BEF"/>
    <w:rsid w:val="00803C15"/>
    <w:rsid w:val="00803C6D"/>
    <w:rsid w:val="00806BCE"/>
    <w:rsid w:val="00811796"/>
    <w:rsid w:val="00813EB9"/>
    <w:rsid w:val="00813F19"/>
    <w:rsid w:val="0082221D"/>
    <w:rsid w:val="0082222D"/>
    <w:rsid w:val="008226B1"/>
    <w:rsid w:val="00822756"/>
    <w:rsid w:val="00826F60"/>
    <w:rsid w:val="00827DA2"/>
    <w:rsid w:val="00835113"/>
    <w:rsid w:val="00836BB1"/>
    <w:rsid w:val="00837AEE"/>
    <w:rsid w:val="00842E3E"/>
    <w:rsid w:val="00843F50"/>
    <w:rsid w:val="00844719"/>
    <w:rsid w:val="00844B21"/>
    <w:rsid w:val="00851A0F"/>
    <w:rsid w:val="00851C5B"/>
    <w:rsid w:val="00852A6D"/>
    <w:rsid w:val="00854164"/>
    <w:rsid w:val="00856A94"/>
    <w:rsid w:val="0086386B"/>
    <w:rsid w:val="0087395C"/>
    <w:rsid w:val="00873F1F"/>
    <w:rsid w:val="00875B7B"/>
    <w:rsid w:val="00877BAE"/>
    <w:rsid w:val="00877CA6"/>
    <w:rsid w:val="00877EFD"/>
    <w:rsid w:val="00881EDE"/>
    <w:rsid w:val="00882522"/>
    <w:rsid w:val="0088595F"/>
    <w:rsid w:val="0088777F"/>
    <w:rsid w:val="00893174"/>
    <w:rsid w:val="00894CDC"/>
    <w:rsid w:val="008A0848"/>
    <w:rsid w:val="008A19BA"/>
    <w:rsid w:val="008A77BA"/>
    <w:rsid w:val="008B1735"/>
    <w:rsid w:val="008B3627"/>
    <w:rsid w:val="008B389C"/>
    <w:rsid w:val="008B5151"/>
    <w:rsid w:val="008B6B3D"/>
    <w:rsid w:val="008C0D97"/>
    <w:rsid w:val="008C123E"/>
    <w:rsid w:val="008C1E3B"/>
    <w:rsid w:val="008C2260"/>
    <w:rsid w:val="008C2F70"/>
    <w:rsid w:val="008C30B8"/>
    <w:rsid w:val="008C5EA6"/>
    <w:rsid w:val="008D19AC"/>
    <w:rsid w:val="008D2556"/>
    <w:rsid w:val="008D6916"/>
    <w:rsid w:val="008D750D"/>
    <w:rsid w:val="008E1C6E"/>
    <w:rsid w:val="008E4BF2"/>
    <w:rsid w:val="008E5C27"/>
    <w:rsid w:val="008E5E6C"/>
    <w:rsid w:val="008E7289"/>
    <w:rsid w:val="008F04ED"/>
    <w:rsid w:val="008F2BBF"/>
    <w:rsid w:val="00900745"/>
    <w:rsid w:val="00901312"/>
    <w:rsid w:val="00901706"/>
    <w:rsid w:val="0090673E"/>
    <w:rsid w:val="00911322"/>
    <w:rsid w:val="00913D3A"/>
    <w:rsid w:val="009149AA"/>
    <w:rsid w:val="00914CC3"/>
    <w:rsid w:val="00915EDC"/>
    <w:rsid w:val="00921A7E"/>
    <w:rsid w:val="00921AE4"/>
    <w:rsid w:val="00924566"/>
    <w:rsid w:val="00930812"/>
    <w:rsid w:val="0093127D"/>
    <w:rsid w:val="00935325"/>
    <w:rsid w:val="009413AA"/>
    <w:rsid w:val="0095110E"/>
    <w:rsid w:val="009529F1"/>
    <w:rsid w:val="009537D4"/>
    <w:rsid w:val="00955710"/>
    <w:rsid w:val="009646D7"/>
    <w:rsid w:val="00966B42"/>
    <w:rsid w:val="009711A8"/>
    <w:rsid w:val="009744A7"/>
    <w:rsid w:val="00976633"/>
    <w:rsid w:val="00976FC7"/>
    <w:rsid w:val="009803AD"/>
    <w:rsid w:val="00984C89"/>
    <w:rsid w:val="00984E4C"/>
    <w:rsid w:val="0098585E"/>
    <w:rsid w:val="00990B26"/>
    <w:rsid w:val="00994284"/>
    <w:rsid w:val="009942B7"/>
    <w:rsid w:val="00996C44"/>
    <w:rsid w:val="009A2331"/>
    <w:rsid w:val="009A2660"/>
    <w:rsid w:val="009A3CCF"/>
    <w:rsid w:val="009A472B"/>
    <w:rsid w:val="009A7604"/>
    <w:rsid w:val="009A7A0E"/>
    <w:rsid w:val="009B22B7"/>
    <w:rsid w:val="009B4A20"/>
    <w:rsid w:val="009B58A1"/>
    <w:rsid w:val="009C4BB1"/>
    <w:rsid w:val="009C608C"/>
    <w:rsid w:val="009D20F7"/>
    <w:rsid w:val="009D2B75"/>
    <w:rsid w:val="009D2E59"/>
    <w:rsid w:val="009D5765"/>
    <w:rsid w:val="009E09AD"/>
    <w:rsid w:val="009E1EE0"/>
    <w:rsid w:val="009E636C"/>
    <w:rsid w:val="009E6497"/>
    <w:rsid w:val="009E65F8"/>
    <w:rsid w:val="009E67D5"/>
    <w:rsid w:val="009E7ACF"/>
    <w:rsid w:val="009F0921"/>
    <w:rsid w:val="009F0CE5"/>
    <w:rsid w:val="009F1692"/>
    <w:rsid w:val="009F200E"/>
    <w:rsid w:val="009F258A"/>
    <w:rsid w:val="009F26B0"/>
    <w:rsid w:val="009F2882"/>
    <w:rsid w:val="009F384E"/>
    <w:rsid w:val="009F3F35"/>
    <w:rsid w:val="009F56AC"/>
    <w:rsid w:val="00A02889"/>
    <w:rsid w:val="00A02CAF"/>
    <w:rsid w:val="00A03544"/>
    <w:rsid w:val="00A03DAA"/>
    <w:rsid w:val="00A059D8"/>
    <w:rsid w:val="00A07959"/>
    <w:rsid w:val="00A10D55"/>
    <w:rsid w:val="00A127A1"/>
    <w:rsid w:val="00A17148"/>
    <w:rsid w:val="00A21041"/>
    <w:rsid w:val="00A224D9"/>
    <w:rsid w:val="00A22FB9"/>
    <w:rsid w:val="00A24CBA"/>
    <w:rsid w:val="00A32C59"/>
    <w:rsid w:val="00A32DE9"/>
    <w:rsid w:val="00A32E46"/>
    <w:rsid w:val="00A36665"/>
    <w:rsid w:val="00A379BC"/>
    <w:rsid w:val="00A379CF"/>
    <w:rsid w:val="00A41DCB"/>
    <w:rsid w:val="00A4450D"/>
    <w:rsid w:val="00A4544E"/>
    <w:rsid w:val="00A46878"/>
    <w:rsid w:val="00A47CBB"/>
    <w:rsid w:val="00A47E3C"/>
    <w:rsid w:val="00A50EA5"/>
    <w:rsid w:val="00A56F5A"/>
    <w:rsid w:val="00A575DD"/>
    <w:rsid w:val="00A57AF4"/>
    <w:rsid w:val="00A6046C"/>
    <w:rsid w:val="00A63A81"/>
    <w:rsid w:val="00A65DDA"/>
    <w:rsid w:val="00A71052"/>
    <w:rsid w:val="00A766B9"/>
    <w:rsid w:val="00A77A6C"/>
    <w:rsid w:val="00A808A9"/>
    <w:rsid w:val="00A82CD2"/>
    <w:rsid w:val="00A83034"/>
    <w:rsid w:val="00A84D33"/>
    <w:rsid w:val="00A86227"/>
    <w:rsid w:val="00A97C01"/>
    <w:rsid w:val="00AA615D"/>
    <w:rsid w:val="00AB1A4F"/>
    <w:rsid w:val="00AB4FEC"/>
    <w:rsid w:val="00AB57CC"/>
    <w:rsid w:val="00AB67C2"/>
    <w:rsid w:val="00AD2EC3"/>
    <w:rsid w:val="00AD4A05"/>
    <w:rsid w:val="00AD5A59"/>
    <w:rsid w:val="00AD71E5"/>
    <w:rsid w:val="00AD7C22"/>
    <w:rsid w:val="00AE04EA"/>
    <w:rsid w:val="00AE4FB4"/>
    <w:rsid w:val="00AE6A65"/>
    <w:rsid w:val="00AF0C8E"/>
    <w:rsid w:val="00AF1079"/>
    <w:rsid w:val="00AF32AC"/>
    <w:rsid w:val="00AF7104"/>
    <w:rsid w:val="00B00FC2"/>
    <w:rsid w:val="00B02FBA"/>
    <w:rsid w:val="00B04217"/>
    <w:rsid w:val="00B0499A"/>
    <w:rsid w:val="00B065CF"/>
    <w:rsid w:val="00B06AA7"/>
    <w:rsid w:val="00B113FC"/>
    <w:rsid w:val="00B11BF1"/>
    <w:rsid w:val="00B12B64"/>
    <w:rsid w:val="00B13495"/>
    <w:rsid w:val="00B14901"/>
    <w:rsid w:val="00B166F6"/>
    <w:rsid w:val="00B20F74"/>
    <w:rsid w:val="00B21EA5"/>
    <w:rsid w:val="00B2393C"/>
    <w:rsid w:val="00B23B32"/>
    <w:rsid w:val="00B27DF4"/>
    <w:rsid w:val="00B27F7E"/>
    <w:rsid w:val="00B303C7"/>
    <w:rsid w:val="00B30784"/>
    <w:rsid w:val="00B32D97"/>
    <w:rsid w:val="00B3745D"/>
    <w:rsid w:val="00B45475"/>
    <w:rsid w:val="00B47694"/>
    <w:rsid w:val="00B52F79"/>
    <w:rsid w:val="00B64A7B"/>
    <w:rsid w:val="00B64ACB"/>
    <w:rsid w:val="00B65373"/>
    <w:rsid w:val="00B67795"/>
    <w:rsid w:val="00B73AA7"/>
    <w:rsid w:val="00B778DA"/>
    <w:rsid w:val="00B80A3A"/>
    <w:rsid w:val="00B813C3"/>
    <w:rsid w:val="00B8435B"/>
    <w:rsid w:val="00B953AE"/>
    <w:rsid w:val="00BA4E54"/>
    <w:rsid w:val="00BA6492"/>
    <w:rsid w:val="00BA7422"/>
    <w:rsid w:val="00BB5A18"/>
    <w:rsid w:val="00BB7D7B"/>
    <w:rsid w:val="00BC2F72"/>
    <w:rsid w:val="00BC5892"/>
    <w:rsid w:val="00BC6DCE"/>
    <w:rsid w:val="00BC7E53"/>
    <w:rsid w:val="00BD5F0B"/>
    <w:rsid w:val="00BE3A32"/>
    <w:rsid w:val="00BE5EAA"/>
    <w:rsid w:val="00BE6D2D"/>
    <w:rsid w:val="00BF1EF0"/>
    <w:rsid w:val="00BF4504"/>
    <w:rsid w:val="00BF56C7"/>
    <w:rsid w:val="00BF5E6F"/>
    <w:rsid w:val="00BF67A2"/>
    <w:rsid w:val="00C00F5C"/>
    <w:rsid w:val="00C0343E"/>
    <w:rsid w:val="00C04121"/>
    <w:rsid w:val="00C054B8"/>
    <w:rsid w:val="00C07123"/>
    <w:rsid w:val="00C17049"/>
    <w:rsid w:val="00C20FAE"/>
    <w:rsid w:val="00C2104B"/>
    <w:rsid w:val="00C211D1"/>
    <w:rsid w:val="00C21A39"/>
    <w:rsid w:val="00C26091"/>
    <w:rsid w:val="00C261D0"/>
    <w:rsid w:val="00C27936"/>
    <w:rsid w:val="00C311F8"/>
    <w:rsid w:val="00C423D1"/>
    <w:rsid w:val="00C4634B"/>
    <w:rsid w:val="00C545AA"/>
    <w:rsid w:val="00C6124D"/>
    <w:rsid w:val="00C6285C"/>
    <w:rsid w:val="00C62DDD"/>
    <w:rsid w:val="00C63399"/>
    <w:rsid w:val="00C662D5"/>
    <w:rsid w:val="00C7087A"/>
    <w:rsid w:val="00C71C55"/>
    <w:rsid w:val="00C734A1"/>
    <w:rsid w:val="00C7598C"/>
    <w:rsid w:val="00C75A08"/>
    <w:rsid w:val="00C76F4D"/>
    <w:rsid w:val="00C83442"/>
    <w:rsid w:val="00C87CB6"/>
    <w:rsid w:val="00C90C5E"/>
    <w:rsid w:val="00CA0715"/>
    <w:rsid w:val="00CA3B21"/>
    <w:rsid w:val="00CB0C11"/>
    <w:rsid w:val="00CC1038"/>
    <w:rsid w:val="00CC1586"/>
    <w:rsid w:val="00CC3FCE"/>
    <w:rsid w:val="00CC6A85"/>
    <w:rsid w:val="00CD0751"/>
    <w:rsid w:val="00CD1B49"/>
    <w:rsid w:val="00CD73F1"/>
    <w:rsid w:val="00CE15EF"/>
    <w:rsid w:val="00CE4ACB"/>
    <w:rsid w:val="00CF078F"/>
    <w:rsid w:val="00CF6871"/>
    <w:rsid w:val="00CF7AC1"/>
    <w:rsid w:val="00D03479"/>
    <w:rsid w:val="00D07C75"/>
    <w:rsid w:val="00D12289"/>
    <w:rsid w:val="00D14B26"/>
    <w:rsid w:val="00D1509E"/>
    <w:rsid w:val="00D1533B"/>
    <w:rsid w:val="00D27464"/>
    <w:rsid w:val="00D2778D"/>
    <w:rsid w:val="00D27F9D"/>
    <w:rsid w:val="00D3039B"/>
    <w:rsid w:val="00D3344A"/>
    <w:rsid w:val="00D34CBE"/>
    <w:rsid w:val="00D459F5"/>
    <w:rsid w:val="00D52068"/>
    <w:rsid w:val="00D53B37"/>
    <w:rsid w:val="00D53DED"/>
    <w:rsid w:val="00D545BC"/>
    <w:rsid w:val="00D551AF"/>
    <w:rsid w:val="00D553AA"/>
    <w:rsid w:val="00D55A1E"/>
    <w:rsid w:val="00D60CA8"/>
    <w:rsid w:val="00D623A7"/>
    <w:rsid w:val="00D6379A"/>
    <w:rsid w:val="00D663C0"/>
    <w:rsid w:val="00D7714B"/>
    <w:rsid w:val="00D80C27"/>
    <w:rsid w:val="00D846C2"/>
    <w:rsid w:val="00D8480B"/>
    <w:rsid w:val="00D84EB0"/>
    <w:rsid w:val="00D87E44"/>
    <w:rsid w:val="00D908C2"/>
    <w:rsid w:val="00D933FE"/>
    <w:rsid w:val="00DA1D64"/>
    <w:rsid w:val="00DB034A"/>
    <w:rsid w:val="00DB0F2A"/>
    <w:rsid w:val="00DB13A1"/>
    <w:rsid w:val="00DB1A2A"/>
    <w:rsid w:val="00DB2C1B"/>
    <w:rsid w:val="00DB345A"/>
    <w:rsid w:val="00DB46C7"/>
    <w:rsid w:val="00DB6AF0"/>
    <w:rsid w:val="00DB6C92"/>
    <w:rsid w:val="00DB7026"/>
    <w:rsid w:val="00DC1612"/>
    <w:rsid w:val="00DC164A"/>
    <w:rsid w:val="00DD0D6F"/>
    <w:rsid w:val="00DD4100"/>
    <w:rsid w:val="00DD43FA"/>
    <w:rsid w:val="00DD4E73"/>
    <w:rsid w:val="00DE30CE"/>
    <w:rsid w:val="00DE5C5C"/>
    <w:rsid w:val="00DF3865"/>
    <w:rsid w:val="00E0516F"/>
    <w:rsid w:val="00E11D32"/>
    <w:rsid w:val="00E12444"/>
    <w:rsid w:val="00E124A8"/>
    <w:rsid w:val="00E15E21"/>
    <w:rsid w:val="00E15FAE"/>
    <w:rsid w:val="00E16AA2"/>
    <w:rsid w:val="00E206C5"/>
    <w:rsid w:val="00E241D7"/>
    <w:rsid w:val="00E2482A"/>
    <w:rsid w:val="00E25096"/>
    <w:rsid w:val="00E2630D"/>
    <w:rsid w:val="00E271C3"/>
    <w:rsid w:val="00E27DB0"/>
    <w:rsid w:val="00E30423"/>
    <w:rsid w:val="00E30D32"/>
    <w:rsid w:val="00E312EF"/>
    <w:rsid w:val="00E31408"/>
    <w:rsid w:val="00E32B36"/>
    <w:rsid w:val="00E3322B"/>
    <w:rsid w:val="00E33396"/>
    <w:rsid w:val="00E3467B"/>
    <w:rsid w:val="00E354ED"/>
    <w:rsid w:val="00E35629"/>
    <w:rsid w:val="00E447D2"/>
    <w:rsid w:val="00E46DCF"/>
    <w:rsid w:val="00E54786"/>
    <w:rsid w:val="00E61237"/>
    <w:rsid w:val="00E70873"/>
    <w:rsid w:val="00E717C6"/>
    <w:rsid w:val="00E76420"/>
    <w:rsid w:val="00E85C4A"/>
    <w:rsid w:val="00E86041"/>
    <w:rsid w:val="00E94657"/>
    <w:rsid w:val="00E95D30"/>
    <w:rsid w:val="00EA2F6E"/>
    <w:rsid w:val="00EA5DE6"/>
    <w:rsid w:val="00EB1BCB"/>
    <w:rsid w:val="00EB30BF"/>
    <w:rsid w:val="00EB3FD0"/>
    <w:rsid w:val="00EB7A64"/>
    <w:rsid w:val="00EC306B"/>
    <w:rsid w:val="00EC3F26"/>
    <w:rsid w:val="00EC40A5"/>
    <w:rsid w:val="00EC4A10"/>
    <w:rsid w:val="00EC4EDE"/>
    <w:rsid w:val="00EC7DB3"/>
    <w:rsid w:val="00ED434D"/>
    <w:rsid w:val="00EE0A47"/>
    <w:rsid w:val="00EE2CF3"/>
    <w:rsid w:val="00EE3FF0"/>
    <w:rsid w:val="00EE5D5A"/>
    <w:rsid w:val="00EE5EF3"/>
    <w:rsid w:val="00EF1929"/>
    <w:rsid w:val="00EF449C"/>
    <w:rsid w:val="00EF70F4"/>
    <w:rsid w:val="00F03EFF"/>
    <w:rsid w:val="00F0469F"/>
    <w:rsid w:val="00F10CA3"/>
    <w:rsid w:val="00F121F9"/>
    <w:rsid w:val="00F12FC8"/>
    <w:rsid w:val="00F13CED"/>
    <w:rsid w:val="00F145D1"/>
    <w:rsid w:val="00F17570"/>
    <w:rsid w:val="00F178BF"/>
    <w:rsid w:val="00F207D1"/>
    <w:rsid w:val="00F21C56"/>
    <w:rsid w:val="00F2276A"/>
    <w:rsid w:val="00F23C10"/>
    <w:rsid w:val="00F25D34"/>
    <w:rsid w:val="00F25F7C"/>
    <w:rsid w:val="00F27F42"/>
    <w:rsid w:val="00F316D0"/>
    <w:rsid w:val="00F320BB"/>
    <w:rsid w:val="00F3673C"/>
    <w:rsid w:val="00F36EC4"/>
    <w:rsid w:val="00F37BD3"/>
    <w:rsid w:val="00F37E64"/>
    <w:rsid w:val="00F40D89"/>
    <w:rsid w:val="00F42B72"/>
    <w:rsid w:val="00F456C8"/>
    <w:rsid w:val="00F462B7"/>
    <w:rsid w:val="00F46300"/>
    <w:rsid w:val="00F506B0"/>
    <w:rsid w:val="00F543E1"/>
    <w:rsid w:val="00F54DD8"/>
    <w:rsid w:val="00F5600B"/>
    <w:rsid w:val="00F60B84"/>
    <w:rsid w:val="00F650C3"/>
    <w:rsid w:val="00F678B2"/>
    <w:rsid w:val="00F743F4"/>
    <w:rsid w:val="00F74B4A"/>
    <w:rsid w:val="00F75D5C"/>
    <w:rsid w:val="00F857DA"/>
    <w:rsid w:val="00F867F8"/>
    <w:rsid w:val="00F9172E"/>
    <w:rsid w:val="00F95032"/>
    <w:rsid w:val="00F9681E"/>
    <w:rsid w:val="00FA08DC"/>
    <w:rsid w:val="00FA48B6"/>
    <w:rsid w:val="00FB0C55"/>
    <w:rsid w:val="00FB1633"/>
    <w:rsid w:val="00FB17AE"/>
    <w:rsid w:val="00FB2E8A"/>
    <w:rsid w:val="00FB3C4E"/>
    <w:rsid w:val="00FB5073"/>
    <w:rsid w:val="00FC531E"/>
    <w:rsid w:val="00FC747C"/>
    <w:rsid w:val="00FD103F"/>
    <w:rsid w:val="00FD1146"/>
    <w:rsid w:val="00FD1418"/>
    <w:rsid w:val="00FE0B77"/>
    <w:rsid w:val="00FE3071"/>
    <w:rsid w:val="00FE345C"/>
    <w:rsid w:val="00FE6E56"/>
    <w:rsid w:val="00FE7ECF"/>
    <w:rsid w:val="00FF3CF3"/>
    <w:rsid w:val="00FF5D2D"/>
    <w:rsid w:val="00FF6018"/>
    <w:rsid w:val="012D1CA5"/>
    <w:rsid w:val="018F0BFB"/>
    <w:rsid w:val="01B03FC7"/>
    <w:rsid w:val="01D3134C"/>
    <w:rsid w:val="01E80D11"/>
    <w:rsid w:val="023575E5"/>
    <w:rsid w:val="02530CAB"/>
    <w:rsid w:val="02761188"/>
    <w:rsid w:val="02A77F86"/>
    <w:rsid w:val="031930C8"/>
    <w:rsid w:val="03503A6B"/>
    <w:rsid w:val="039619D0"/>
    <w:rsid w:val="039B2303"/>
    <w:rsid w:val="03BB305A"/>
    <w:rsid w:val="043A72C0"/>
    <w:rsid w:val="046B26FB"/>
    <w:rsid w:val="04A432F7"/>
    <w:rsid w:val="04A742B5"/>
    <w:rsid w:val="04F44539"/>
    <w:rsid w:val="050D3D36"/>
    <w:rsid w:val="05291C87"/>
    <w:rsid w:val="059C674E"/>
    <w:rsid w:val="05C80770"/>
    <w:rsid w:val="061E1473"/>
    <w:rsid w:val="062B5F82"/>
    <w:rsid w:val="06645AF6"/>
    <w:rsid w:val="06E27753"/>
    <w:rsid w:val="07515362"/>
    <w:rsid w:val="07724C4F"/>
    <w:rsid w:val="07794290"/>
    <w:rsid w:val="078557E1"/>
    <w:rsid w:val="085B4568"/>
    <w:rsid w:val="09127DC1"/>
    <w:rsid w:val="09826074"/>
    <w:rsid w:val="09AB39FF"/>
    <w:rsid w:val="09BF60AE"/>
    <w:rsid w:val="09D8268A"/>
    <w:rsid w:val="0AAA1E1C"/>
    <w:rsid w:val="0B6B472F"/>
    <w:rsid w:val="0B877306"/>
    <w:rsid w:val="0C251564"/>
    <w:rsid w:val="0C30571C"/>
    <w:rsid w:val="0D81789C"/>
    <w:rsid w:val="0D8211BB"/>
    <w:rsid w:val="0DA57C99"/>
    <w:rsid w:val="0DFE04CF"/>
    <w:rsid w:val="0E164C1D"/>
    <w:rsid w:val="0E26228E"/>
    <w:rsid w:val="0E2D1395"/>
    <w:rsid w:val="0F2870AD"/>
    <w:rsid w:val="0F3E4CE3"/>
    <w:rsid w:val="0F51739C"/>
    <w:rsid w:val="0FFB1306"/>
    <w:rsid w:val="100606DC"/>
    <w:rsid w:val="10594812"/>
    <w:rsid w:val="1089617A"/>
    <w:rsid w:val="108A4FA0"/>
    <w:rsid w:val="113E7159"/>
    <w:rsid w:val="11782266"/>
    <w:rsid w:val="11A31662"/>
    <w:rsid w:val="11AD4237"/>
    <w:rsid w:val="12FD78E9"/>
    <w:rsid w:val="135E7EA9"/>
    <w:rsid w:val="13CC04EF"/>
    <w:rsid w:val="142A16AC"/>
    <w:rsid w:val="1433761C"/>
    <w:rsid w:val="14D14B06"/>
    <w:rsid w:val="14D94972"/>
    <w:rsid w:val="152D5C23"/>
    <w:rsid w:val="15C35612"/>
    <w:rsid w:val="17832248"/>
    <w:rsid w:val="190242F7"/>
    <w:rsid w:val="19341DCE"/>
    <w:rsid w:val="1939019C"/>
    <w:rsid w:val="19822633"/>
    <w:rsid w:val="19BA59AF"/>
    <w:rsid w:val="19FD0C87"/>
    <w:rsid w:val="1A1B6EA6"/>
    <w:rsid w:val="1A7321DB"/>
    <w:rsid w:val="1A9626F5"/>
    <w:rsid w:val="1A994D8B"/>
    <w:rsid w:val="1ADA429B"/>
    <w:rsid w:val="1C084C76"/>
    <w:rsid w:val="1C110B01"/>
    <w:rsid w:val="1C56042C"/>
    <w:rsid w:val="1C6C1686"/>
    <w:rsid w:val="1CF66882"/>
    <w:rsid w:val="1D2E1464"/>
    <w:rsid w:val="1D7A6F89"/>
    <w:rsid w:val="1DD432A4"/>
    <w:rsid w:val="1E147FF3"/>
    <w:rsid w:val="1E6B1FE7"/>
    <w:rsid w:val="1F243538"/>
    <w:rsid w:val="1F693763"/>
    <w:rsid w:val="1F6A4F35"/>
    <w:rsid w:val="1F6F4663"/>
    <w:rsid w:val="1F953451"/>
    <w:rsid w:val="1FD82C9F"/>
    <w:rsid w:val="1FF0768B"/>
    <w:rsid w:val="1FF37692"/>
    <w:rsid w:val="201F1939"/>
    <w:rsid w:val="20397AA9"/>
    <w:rsid w:val="21440A03"/>
    <w:rsid w:val="21497100"/>
    <w:rsid w:val="218E45A0"/>
    <w:rsid w:val="21B70371"/>
    <w:rsid w:val="227F533E"/>
    <w:rsid w:val="22892291"/>
    <w:rsid w:val="22C929E6"/>
    <w:rsid w:val="23092D60"/>
    <w:rsid w:val="23387C6B"/>
    <w:rsid w:val="23775F59"/>
    <w:rsid w:val="23A060B2"/>
    <w:rsid w:val="23C2200E"/>
    <w:rsid w:val="24CE67FB"/>
    <w:rsid w:val="25411C84"/>
    <w:rsid w:val="25A865FD"/>
    <w:rsid w:val="25DF0D2E"/>
    <w:rsid w:val="26456A09"/>
    <w:rsid w:val="270B17C5"/>
    <w:rsid w:val="272B2ABD"/>
    <w:rsid w:val="278B7B24"/>
    <w:rsid w:val="27AF4B8E"/>
    <w:rsid w:val="282846B5"/>
    <w:rsid w:val="285A0EA5"/>
    <w:rsid w:val="29396CCE"/>
    <w:rsid w:val="2963403B"/>
    <w:rsid w:val="2975747E"/>
    <w:rsid w:val="2A464C99"/>
    <w:rsid w:val="2A4C5F6D"/>
    <w:rsid w:val="2AD762A9"/>
    <w:rsid w:val="2BA6403B"/>
    <w:rsid w:val="2BE338C2"/>
    <w:rsid w:val="2C5B0F61"/>
    <w:rsid w:val="2C7A383B"/>
    <w:rsid w:val="2CF37236"/>
    <w:rsid w:val="2D0E2358"/>
    <w:rsid w:val="2D4B3D86"/>
    <w:rsid w:val="2D951AB6"/>
    <w:rsid w:val="2DCA18E7"/>
    <w:rsid w:val="2ED31091"/>
    <w:rsid w:val="2EFD3EBB"/>
    <w:rsid w:val="2F0562B5"/>
    <w:rsid w:val="2F3272C5"/>
    <w:rsid w:val="2FCE1C86"/>
    <w:rsid w:val="2FCE38A9"/>
    <w:rsid w:val="2FEE250D"/>
    <w:rsid w:val="30745F05"/>
    <w:rsid w:val="31CA749C"/>
    <w:rsid w:val="329E31B2"/>
    <w:rsid w:val="33046F8B"/>
    <w:rsid w:val="336632FE"/>
    <w:rsid w:val="33C55A02"/>
    <w:rsid w:val="33FC37F3"/>
    <w:rsid w:val="343A2A3D"/>
    <w:rsid w:val="348B0E7D"/>
    <w:rsid w:val="34B46171"/>
    <w:rsid w:val="34F32327"/>
    <w:rsid w:val="351C5385"/>
    <w:rsid w:val="35C8555D"/>
    <w:rsid w:val="35CE5456"/>
    <w:rsid w:val="366B0B78"/>
    <w:rsid w:val="36713459"/>
    <w:rsid w:val="36A831A8"/>
    <w:rsid w:val="36BC26E1"/>
    <w:rsid w:val="37076A56"/>
    <w:rsid w:val="37321C20"/>
    <w:rsid w:val="373E7208"/>
    <w:rsid w:val="374E0A46"/>
    <w:rsid w:val="37516998"/>
    <w:rsid w:val="37992B70"/>
    <w:rsid w:val="37FE42F0"/>
    <w:rsid w:val="38AA5930"/>
    <w:rsid w:val="39574742"/>
    <w:rsid w:val="39684673"/>
    <w:rsid w:val="39B86347"/>
    <w:rsid w:val="3A02439D"/>
    <w:rsid w:val="3A3975EE"/>
    <w:rsid w:val="3A80466D"/>
    <w:rsid w:val="3A943A13"/>
    <w:rsid w:val="3A9C4B4E"/>
    <w:rsid w:val="3AF302C8"/>
    <w:rsid w:val="3B0412E1"/>
    <w:rsid w:val="3B081FD6"/>
    <w:rsid w:val="3CAD03CE"/>
    <w:rsid w:val="3D193084"/>
    <w:rsid w:val="3D2162A1"/>
    <w:rsid w:val="3D296D59"/>
    <w:rsid w:val="3D3B24E0"/>
    <w:rsid w:val="3D3D1E22"/>
    <w:rsid w:val="3D583BAC"/>
    <w:rsid w:val="3D9406E5"/>
    <w:rsid w:val="3E0E4484"/>
    <w:rsid w:val="3E700B16"/>
    <w:rsid w:val="3ED76BAC"/>
    <w:rsid w:val="3F013467"/>
    <w:rsid w:val="3F066E5D"/>
    <w:rsid w:val="3F537FA7"/>
    <w:rsid w:val="3F920226"/>
    <w:rsid w:val="3FC576A7"/>
    <w:rsid w:val="3FE15309"/>
    <w:rsid w:val="407867CD"/>
    <w:rsid w:val="40873159"/>
    <w:rsid w:val="40FF3443"/>
    <w:rsid w:val="4154799F"/>
    <w:rsid w:val="415759F6"/>
    <w:rsid w:val="418360F9"/>
    <w:rsid w:val="41AD2C4B"/>
    <w:rsid w:val="42614CBC"/>
    <w:rsid w:val="429532EB"/>
    <w:rsid w:val="42C55FDA"/>
    <w:rsid w:val="43613E2F"/>
    <w:rsid w:val="438D0305"/>
    <w:rsid w:val="43BB46D1"/>
    <w:rsid w:val="43DE30FD"/>
    <w:rsid w:val="44AC60BE"/>
    <w:rsid w:val="44D379A3"/>
    <w:rsid w:val="44D40D71"/>
    <w:rsid w:val="44F93EC7"/>
    <w:rsid w:val="45125DF7"/>
    <w:rsid w:val="451726C8"/>
    <w:rsid w:val="455E1A7E"/>
    <w:rsid w:val="45E679D9"/>
    <w:rsid w:val="46835E5B"/>
    <w:rsid w:val="472C321D"/>
    <w:rsid w:val="47485A36"/>
    <w:rsid w:val="47DE4DBB"/>
    <w:rsid w:val="48402004"/>
    <w:rsid w:val="484511D1"/>
    <w:rsid w:val="4849248A"/>
    <w:rsid w:val="48784C9D"/>
    <w:rsid w:val="48A043D0"/>
    <w:rsid w:val="48DA716C"/>
    <w:rsid w:val="48DB5537"/>
    <w:rsid w:val="493E7155"/>
    <w:rsid w:val="49C71044"/>
    <w:rsid w:val="49E76CB0"/>
    <w:rsid w:val="4A093D71"/>
    <w:rsid w:val="4A7F02B5"/>
    <w:rsid w:val="4A9B76F7"/>
    <w:rsid w:val="4AA76862"/>
    <w:rsid w:val="4AB53EAD"/>
    <w:rsid w:val="4AB87EF0"/>
    <w:rsid w:val="4B2E23F0"/>
    <w:rsid w:val="4B431D8B"/>
    <w:rsid w:val="4B5A4E11"/>
    <w:rsid w:val="4B845D6E"/>
    <w:rsid w:val="4BC10816"/>
    <w:rsid w:val="4C317B03"/>
    <w:rsid w:val="4CD7595D"/>
    <w:rsid w:val="4CE90195"/>
    <w:rsid w:val="4D5E3295"/>
    <w:rsid w:val="4D8B3B2A"/>
    <w:rsid w:val="4E0437D9"/>
    <w:rsid w:val="4E1420DE"/>
    <w:rsid w:val="4E5C50EF"/>
    <w:rsid w:val="4E6F1314"/>
    <w:rsid w:val="4ECE6681"/>
    <w:rsid w:val="4F222D7B"/>
    <w:rsid w:val="4F5B104B"/>
    <w:rsid w:val="501E65E5"/>
    <w:rsid w:val="504C1532"/>
    <w:rsid w:val="50660FCA"/>
    <w:rsid w:val="506645EF"/>
    <w:rsid w:val="509028FA"/>
    <w:rsid w:val="50BD75BC"/>
    <w:rsid w:val="50D53B2D"/>
    <w:rsid w:val="50F46C1A"/>
    <w:rsid w:val="518E5997"/>
    <w:rsid w:val="52527A15"/>
    <w:rsid w:val="53BB6BBA"/>
    <w:rsid w:val="54101F31"/>
    <w:rsid w:val="54216B09"/>
    <w:rsid w:val="544D0D66"/>
    <w:rsid w:val="548332A6"/>
    <w:rsid w:val="54B45C5A"/>
    <w:rsid w:val="54F0449C"/>
    <w:rsid w:val="5551388F"/>
    <w:rsid w:val="55B14545"/>
    <w:rsid w:val="55B97567"/>
    <w:rsid w:val="55F9509B"/>
    <w:rsid w:val="56085BD2"/>
    <w:rsid w:val="562F19EB"/>
    <w:rsid w:val="56742038"/>
    <w:rsid w:val="577A619E"/>
    <w:rsid w:val="578D2109"/>
    <w:rsid w:val="579123C8"/>
    <w:rsid w:val="57D46113"/>
    <w:rsid w:val="587E3E02"/>
    <w:rsid w:val="58A662DF"/>
    <w:rsid w:val="58B856EC"/>
    <w:rsid w:val="59284E8A"/>
    <w:rsid w:val="59797282"/>
    <w:rsid w:val="59CE4431"/>
    <w:rsid w:val="5A2A7C13"/>
    <w:rsid w:val="5AA639DD"/>
    <w:rsid w:val="5B896D7A"/>
    <w:rsid w:val="5BBC7926"/>
    <w:rsid w:val="5C59799C"/>
    <w:rsid w:val="5CB97E14"/>
    <w:rsid w:val="5CF652F6"/>
    <w:rsid w:val="5D6C0B2E"/>
    <w:rsid w:val="5D6D2FC5"/>
    <w:rsid w:val="5D8D0C3F"/>
    <w:rsid w:val="5DAE019A"/>
    <w:rsid w:val="5E0E2C04"/>
    <w:rsid w:val="5E866466"/>
    <w:rsid w:val="5ECB02B2"/>
    <w:rsid w:val="5F3856F0"/>
    <w:rsid w:val="5F41278E"/>
    <w:rsid w:val="5FBF4414"/>
    <w:rsid w:val="607B0289"/>
    <w:rsid w:val="60DD6F96"/>
    <w:rsid w:val="61184B1D"/>
    <w:rsid w:val="618C15CF"/>
    <w:rsid w:val="61FD6D99"/>
    <w:rsid w:val="620918E9"/>
    <w:rsid w:val="631D36D5"/>
    <w:rsid w:val="6321512B"/>
    <w:rsid w:val="632E6DB1"/>
    <w:rsid w:val="63496CBA"/>
    <w:rsid w:val="64277579"/>
    <w:rsid w:val="64453D5F"/>
    <w:rsid w:val="646E4BD0"/>
    <w:rsid w:val="647860CD"/>
    <w:rsid w:val="648805B1"/>
    <w:rsid w:val="65EE6EB4"/>
    <w:rsid w:val="6620509E"/>
    <w:rsid w:val="662F5783"/>
    <w:rsid w:val="664273C0"/>
    <w:rsid w:val="666E5FCE"/>
    <w:rsid w:val="66754B84"/>
    <w:rsid w:val="66780D0E"/>
    <w:rsid w:val="66B672BB"/>
    <w:rsid w:val="66CB2F7D"/>
    <w:rsid w:val="66E86A24"/>
    <w:rsid w:val="675114E9"/>
    <w:rsid w:val="68284D5A"/>
    <w:rsid w:val="6887518B"/>
    <w:rsid w:val="68B62ED9"/>
    <w:rsid w:val="69E66721"/>
    <w:rsid w:val="6A7E0EAA"/>
    <w:rsid w:val="6A812FF8"/>
    <w:rsid w:val="6A8B3F65"/>
    <w:rsid w:val="6AC23AAC"/>
    <w:rsid w:val="6AF2738A"/>
    <w:rsid w:val="6B7503E8"/>
    <w:rsid w:val="6B7E32B3"/>
    <w:rsid w:val="6B9E48B9"/>
    <w:rsid w:val="6BE715CE"/>
    <w:rsid w:val="6CAC3181"/>
    <w:rsid w:val="6CE34E68"/>
    <w:rsid w:val="6CE53901"/>
    <w:rsid w:val="6D2C2C3D"/>
    <w:rsid w:val="6D401552"/>
    <w:rsid w:val="6D602730"/>
    <w:rsid w:val="6DF4719A"/>
    <w:rsid w:val="6E0704B8"/>
    <w:rsid w:val="6E1E1FA5"/>
    <w:rsid w:val="6E2D6610"/>
    <w:rsid w:val="6E5A1090"/>
    <w:rsid w:val="6EC32725"/>
    <w:rsid w:val="6F2F0698"/>
    <w:rsid w:val="6F6D3057"/>
    <w:rsid w:val="6F722E9F"/>
    <w:rsid w:val="6F7F6CDB"/>
    <w:rsid w:val="6F8C38CB"/>
    <w:rsid w:val="6FA144D7"/>
    <w:rsid w:val="6FCF5836"/>
    <w:rsid w:val="6FCF744E"/>
    <w:rsid w:val="6FDD55F6"/>
    <w:rsid w:val="704E49A8"/>
    <w:rsid w:val="7051076A"/>
    <w:rsid w:val="71466484"/>
    <w:rsid w:val="7157529B"/>
    <w:rsid w:val="71604FD5"/>
    <w:rsid w:val="717952AC"/>
    <w:rsid w:val="71CE25BF"/>
    <w:rsid w:val="726E2944"/>
    <w:rsid w:val="72FE0D70"/>
    <w:rsid w:val="737524AE"/>
    <w:rsid w:val="73954995"/>
    <w:rsid w:val="74296CB6"/>
    <w:rsid w:val="74626B9B"/>
    <w:rsid w:val="747F58E7"/>
    <w:rsid w:val="74C167A1"/>
    <w:rsid w:val="75094CF7"/>
    <w:rsid w:val="753652A6"/>
    <w:rsid w:val="75AE1679"/>
    <w:rsid w:val="76034A4A"/>
    <w:rsid w:val="76C21BC9"/>
    <w:rsid w:val="76E0336E"/>
    <w:rsid w:val="76EF2256"/>
    <w:rsid w:val="77155A17"/>
    <w:rsid w:val="775210EC"/>
    <w:rsid w:val="776B1634"/>
    <w:rsid w:val="77755E24"/>
    <w:rsid w:val="7778661E"/>
    <w:rsid w:val="77D4360B"/>
    <w:rsid w:val="7863501E"/>
    <w:rsid w:val="78684ACC"/>
    <w:rsid w:val="78C0548C"/>
    <w:rsid w:val="790873CC"/>
    <w:rsid w:val="795D0FC0"/>
    <w:rsid w:val="79C54B84"/>
    <w:rsid w:val="7A6F5C5D"/>
    <w:rsid w:val="7A756C7A"/>
    <w:rsid w:val="7A8C143C"/>
    <w:rsid w:val="7AC634BD"/>
    <w:rsid w:val="7AC97B81"/>
    <w:rsid w:val="7AF26294"/>
    <w:rsid w:val="7B740444"/>
    <w:rsid w:val="7BA32E63"/>
    <w:rsid w:val="7BB81B5C"/>
    <w:rsid w:val="7C1C225E"/>
    <w:rsid w:val="7C542644"/>
    <w:rsid w:val="7C5D6B93"/>
    <w:rsid w:val="7CF01B40"/>
    <w:rsid w:val="7D781EA6"/>
    <w:rsid w:val="7D883DE5"/>
    <w:rsid w:val="7E1A7AE3"/>
    <w:rsid w:val="7E2662E3"/>
    <w:rsid w:val="7E2C25DC"/>
    <w:rsid w:val="7E5C0A9F"/>
    <w:rsid w:val="7F6545BF"/>
    <w:rsid w:val="7F91679F"/>
    <w:rsid w:val="7FC966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iPriority="0" w:semiHidden="0" w:name="toc 8" w:locked="1"/>
    <w:lsdException w:qFormat="1" w:uiPriority="0" w:semiHidden="0" w:name="toc 9" w:locked="1"/>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name="HTML Acronym"/>
    <w:lsdException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9"/>
    <w:pPr>
      <w:keepNext/>
      <w:keepLines/>
      <w:spacing w:line="576" w:lineRule="auto"/>
      <w:jc w:val="center"/>
      <w:outlineLvl w:val="0"/>
    </w:pPr>
    <w:rPr>
      <w:b/>
      <w:bCs/>
      <w:kern w:val="44"/>
      <w:sz w:val="44"/>
      <w:szCs w:val="44"/>
    </w:rPr>
  </w:style>
  <w:style w:type="paragraph" w:styleId="3">
    <w:name w:val="heading 2"/>
    <w:basedOn w:val="1"/>
    <w:next w:val="1"/>
    <w:link w:val="45"/>
    <w:qFormat/>
    <w:uiPriority w:val="99"/>
    <w:pPr>
      <w:keepNext/>
      <w:keepLines/>
      <w:spacing w:line="415" w:lineRule="auto"/>
      <w:jc w:val="center"/>
      <w:outlineLvl w:val="1"/>
    </w:pPr>
    <w:rPr>
      <w:rFonts w:ascii="Arial" w:hAnsi="Arial" w:eastAsia="黑体"/>
      <w:b/>
      <w:bCs/>
      <w:kern w:val="0"/>
      <w:sz w:val="32"/>
      <w:szCs w:val="32"/>
    </w:rPr>
  </w:style>
  <w:style w:type="paragraph" w:styleId="4">
    <w:name w:val="heading 3"/>
    <w:basedOn w:val="1"/>
    <w:next w:val="1"/>
    <w:link w:val="46"/>
    <w:qFormat/>
    <w:uiPriority w:val="99"/>
    <w:pPr>
      <w:keepNext/>
      <w:keepLines/>
      <w:spacing w:line="415" w:lineRule="auto"/>
      <w:ind w:left="459"/>
      <w:jc w:val="left"/>
      <w:outlineLvl w:val="2"/>
    </w:pPr>
    <w:rPr>
      <w:b/>
      <w:bCs/>
      <w:kern w:val="0"/>
      <w:sz w:val="32"/>
      <w:szCs w:val="32"/>
    </w:rPr>
  </w:style>
  <w:style w:type="paragraph" w:styleId="5">
    <w:name w:val="heading 4"/>
    <w:basedOn w:val="1"/>
    <w:next w:val="1"/>
    <w:link w:val="47"/>
    <w:qFormat/>
    <w:uiPriority w:val="99"/>
    <w:pPr>
      <w:keepNext/>
      <w:keepLines/>
      <w:spacing w:line="374" w:lineRule="auto"/>
      <w:outlineLvl w:val="3"/>
    </w:pPr>
    <w:rPr>
      <w:rFonts w:ascii="Arial" w:hAnsi="Arial" w:eastAsia="黑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0"/>
    <w:pPr>
      <w:ind w:left="1260"/>
      <w:jc w:val="left"/>
    </w:pPr>
    <w:rPr>
      <w:rFonts w:ascii="Calibri" w:hAnsi="Calibri" w:cs="Calibri"/>
      <w:sz w:val="18"/>
      <w:szCs w:val="18"/>
    </w:rPr>
  </w:style>
  <w:style w:type="paragraph" w:styleId="7">
    <w:name w:val="Document Map"/>
    <w:basedOn w:val="1"/>
    <w:link w:val="48"/>
    <w:semiHidden/>
    <w:qFormat/>
    <w:uiPriority w:val="99"/>
    <w:rPr>
      <w:rFonts w:ascii="宋体"/>
      <w:sz w:val="18"/>
      <w:szCs w:val="18"/>
    </w:rPr>
  </w:style>
  <w:style w:type="paragraph" w:styleId="8">
    <w:name w:val="annotation text"/>
    <w:basedOn w:val="1"/>
    <w:unhideWhenUsed/>
    <w:qFormat/>
    <w:uiPriority w:val="99"/>
    <w:pPr>
      <w:jc w:val="left"/>
    </w:pPr>
  </w:style>
  <w:style w:type="paragraph" w:styleId="9">
    <w:name w:val="Body Text 3"/>
    <w:basedOn w:val="1"/>
    <w:link w:val="49"/>
    <w:qFormat/>
    <w:uiPriority w:val="99"/>
    <w:rPr>
      <w:kern w:val="0"/>
      <w:sz w:val="24"/>
      <w:szCs w:val="24"/>
    </w:rPr>
  </w:style>
  <w:style w:type="paragraph" w:styleId="10">
    <w:name w:val="Body Text"/>
    <w:basedOn w:val="1"/>
    <w:link w:val="50"/>
    <w:qFormat/>
    <w:uiPriority w:val="99"/>
    <w:rPr>
      <w:sz w:val="24"/>
      <w:szCs w:val="24"/>
    </w:rPr>
  </w:style>
  <w:style w:type="paragraph" w:styleId="11">
    <w:name w:val="Body Text Indent"/>
    <w:basedOn w:val="1"/>
    <w:link w:val="51"/>
    <w:qFormat/>
    <w:uiPriority w:val="99"/>
    <w:pPr>
      <w:ind w:left="538"/>
    </w:pPr>
    <w:rPr>
      <w:kern w:val="0"/>
      <w:sz w:val="20"/>
    </w:rPr>
  </w:style>
  <w:style w:type="paragraph" w:styleId="12">
    <w:name w:val="toc 5"/>
    <w:basedOn w:val="1"/>
    <w:next w:val="1"/>
    <w:unhideWhenUsed/>
    <w:qFormat/>
    <w:locked/>
    <w:uiPriority w:val="0"/>
    <w:pPr>
      <w:ind w:left="840"/>
      <w:jc w:val="left"/>
    </w:pPr>
    <w:rPr>
      <w:rFonts w:ascii="Calibri" w:hAnsi="Calibri" w:cs="Calibri"/>
      <w:sz w:val="18"/>
      <w:szCs w:val="18"/>
    </w:rPr>
  </w:style>
  <w:style w:type="paragraph" w:styleId="13">
    <w:name w:val="toc 3"/>
    <w:basedOn w:val="1"/>
    <w:next w:val="1"/>
    <w:semiHidden/>
    <w:qFormat/>
    <w:uiPriority w:val="99"/>
    <w:pPr>
      <w:ind w:left="420"/>
      <w:jc w:val="left"/>
    </w:pPr>
    <w:rPr>
      <w:rFonts w:ascii="Calibri" w:hAnsi="Calibri" w:cs="Calibri"/>
      <w:i/>
      <w:iCs/>
      <w:sz w:val="20"/>
      <w:szCs w:val="20"/>
    </w:rPr>
  </w:style>
  <w:style w:type="paragraph" w:styleId="14">
    <w:name w:val="Plain Text"/>
    <w:basedOn w:val="1"/>
    <w:link w:val="52"/>
    <w:qFormat/>
    <w:uiPriority w:val="99"/>
    <w:rPr>
      <w:rFonts w:ascii="宋体" w:hAnsi="Courier New"/>
      <w:kern w:val="0"/>
    </w:rPr>
  </w:style>
  <w:style w:type="paragraph" w:styleId="15">
    <w:name w:val="toc 8"/>
    <w:basedOn w:val="1"/>
    <w:next w:val="1"/>
    <w:unhideWhenUsed/>
    <w:qFormat/>
    <w:locked/>
    <w:uiPriority w:val="0"/>
    <w:pPr>
      <w:ind w:left="1470"/>
      <w:jc w:val="left"/>
    </w:pPr>
    <w:rPr>
      <w:rFonts w:ascii="Calibri" w:hAnsi="Calibri" w:cs="Calibri"/>
      <w:sz w:val="18"/>
      <w:szCs w:val="18"/>
    </w:rPr>
  </w:style>
  <w:style w:type="paragraph" w:styleId="16">
    <w:name w:val="Balloon Text"/>
    <w:basedOn w:val="1"/>
    <w:link w:val="73"/>
    <w:semiHidden/>
    <w:qFormat/>
    <w:uiPriority w:val="99"/>
    <w:rPr>
      <w:sz w:val="18"/>
      <w:szCs w:val="18"/>
    </w:rPr>
  </w:style>
  <w:style w:type="paragraph" w:styleId="17">
    <w:name w:val="footer"/>
    <w:basedOn w:val="1"/>
    <w:link w:val="53"/>
    <w:qFormat/>
    <w:uiPriority w:val="99"/>
    <w:pPr>
      <w:snapToGrid w:val="0"/>
      <w:jc w:val="left"/>
    </w:pPr>
    <w:rPr>
      <w:kern w:val="0"/>
      <w:sz w:val="18"/>
      <w:szCs w:val="18"/>
    </w:rPr>
  </w:style>
  <w:style w:type="paragraph" w:styleId="18">
    <w:name w:val="header"/>
    <w:basedOn w:val="1"/>
    <w:link w:val="54"/>
    <w:qFormat/>
    <w:uiPriority w:val="0"/>
    <w:pPr>
      <w:pBdr>
        <w:bottom w:val="single" w:color="auto" w:sz="6" w:space="1"/>
      </w:pBdr>
      <w:snapToGrid w:val="0"/>
      <w:jc w:val="center"/>
    </w:pPr>
    <w:rPr>
      <w:kern w:val="0"/>
      <w:sz w:val="18"/>
      <w:szCs w:val="18"/>
    </w:rPr>
  </w:style>
  <w:style w:type="paragraph" w:styleId="19">
    <w:name w:val="toc 1"/>
    <w:basedOn w:val="1"/>
    <w:next w:val="1"/>
    <w:qFormat/>
    <w:uiPriority w:val="39"/>
    <w:pPr>
      <w:spacing w:before="120" w:after="120"/>
      <w:jc w:val="left"/>
    </w:pPr>
    <w:rPr>
      <w:rFonts w:ascii="Calibri" w:hAnsi="Calibri" w:cs="Calibri"/>
      <w:b/>
      <w:bCs/>
      <w:caps/>
      <w:sz w:val="20"/>
      <w:szCs w:val="20"/>
    </w:rPr>
  </w:style>
  <w:style w:type="paragraph" w:styleId="20">
    <w:name w:val="toc 4"/>
    <w:basedOn w:val="1"/>
    <w:next w:val="1"/>
    <w:unhideWhenUsed/>
    <w:qFormat/>
    <w:locked/>
    <w:uiPriority w:val="0"/>
    <w:pPr>
      <w:ind w:left="630"/>
      <w:jc w:val="left"/>
    </w:pPr>
    <w:rPr>
      <w:rFonts w:ascii="Calibri" w:hAnsi="Calibri" w:cs="Calibri"/>
      <w:sz w:val="18"/>
      <w:szCs w:val="18"/>
    </w:rPr>
  </w:style>
  <w:style w:type="paragraph" w:styleId="21">
    <w:name w:val="toc 6"/>
    <w:basedOn w:val="1"/>
    <w:next w:val="1"/>
    <w:unhideWhenUsed/>
    <w:qFormat/>
    <w:locked/>
    <w:uiPriority w:val="0"/>
    <w:pPr>
      <w:ind w:left="1050"/>
      <w:jc w:val="left"/>
    </w:pPr>
    <w:rPr>
      <w:rFonts w:ascii="Calibri" w:hAnsi="Calibri" w:cs="Calibri"/>
      <w:sz w:val="18"/>
      <w:szCs w:val="18"/>
    </w:rPr>
  </w:style>
  <w:style w:type="paragraph" w:styleId="22">
    <w:name w:val="toc 2"/>
    <w:basedOn w:val="1"/>
    <w:next w:val="1"/>
    <w:qFormat/>
    <w:uiPriority w:val="39"/>
    <w:pPr>
      <w:ind w:left="210"/>
      <w:jc w:val="left"/>
    </w:pPr>
    <w:rPr>
      <w:rFonts w:ascii="Calibri" w:hAnsi="Calibri" w:cs="Calibri"/>
      <w:smallCaps/>
      <w:sz w:val="20"/>
      <w:szCs w:val="20"/>
    </w:rPr>
  </w:style>
  <w:style w:type="paragraph" w:styleId="23">
    <w:name w:val="toc 9"/>
    <w:basedOn w:val="1"/>
    <w:next w:val="1"/>
    <w:unhideWhenUsed/>
    <w:qFormat/>
    <w:locked/>
    <w:uiPriority w:val="0"/>
    <w:pPr>
      <w:ind w:left="1680"/>
      <w:jc w:val="left"/>
    </w:pPr>
    <w:rPr>
      <w:rFonts w:ascii="Calibri" w:hAnsi="Calibri" w:cs="Calibri"/>
      <w:sz w:val="18"/>
      <w:szCs w:val="18"/>
    </w:rPr>
  </w:style>
  <w:style w:type="paragraph" w:styleId="24">
    <w:name w:val="Message Header"/>
    <w:basedOn w:val="1"/>
    <w:link w:val="55"/>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w:basedOn w:val="10"/>
    <w:link w:val="76"/>
    <w:qFormat/>
    <w:uiPriority w:val="99"/>
    <w:pPr>
      <w:spacing w:after="120"/>
      <w:ind w:firstLine="420" w:firstLineChars="100"/>
    </w:pPr>
    <w:rPr>
      <w:sz w:val="21"/>
      <w:szCs w:val="21"/>
    </w:rPr>
  </w:style>
  <w:style w:type="paragraph" w:styleId="27">
    <w:name w:val="Body Text First Indent 2"/>
    <w:basedOn w:val="11"/>
    <w:link w:val="56"/>
    <w:qFormat/>
    <w:uiPriority w:val="99"/>
    <w:pPr>
      <w:ind w:firstLine="420" w:firstLineChars="200"/>
    </w:p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style>
  <w:style w:type="character" w:styleId="32">
    <w:name w:val="FollowedHyperlink"/>
    <w:qFormat/>
    <w:uiPriority w:val="99"/>
    <w:rPr>
      <w:color w:val="800080"/>
      <w:u w:val="none"/>
    </w:rPr>
  </w:style>
  <w:style w:type="character" w:styleId="33">
    <w:name w:val="Emphasis"/>
    <w:basedOn w:val="30"/>
    <w:qFormat/>
    <w:uiPriority w:val="99"/>
  </w:style>
  <w:style w:type="character" w:styleId="34">
    <w:name w:val="HTML Definition"/>
    <w:basedOn w:val="30"/>
    <w:semiHidden/>
    <w:qFormat/>
    <w:uiPriority w:val="99"/>
  </w:style>
  <w:style w:type="character" w:styleId="35">
    <w:name w:val="HTML Typewriter"/>
    <w:semiHidden/>
    <w:qFormat/>
    <w:uiPriority w:val="99"/>
    <w:rPr>
      <w:rFonts w:ascii="monospace" w:hAnsi="monospace" w:eastAsia="Times New Roman" w:cs="monospace"/>
      <w:sz w:val="20"/>
      <w:szCs w:val="20"/>
    </w:rPr>
  </w:style>
  <w:style w:type="character" w:styleId="36">
    <w:name w:val="HTML Acronym"/>
    <w:basedOn w:val="30"/>
    <w:semiHidden/>
    <w:qFormat/>
    <w:uiPriority w:val="99"/>
  </w:style>
  <w:style w:type="character" w:styleId="37">
    <w:name w:val="HTML Variable"/>
    <w:basedOn w:val="30"/>
    <w:semiHidden/>
    <w:qFormat/>
    <w:uiPriority w:val="99"/>
  </w:style>
  <w:style w:type="character" w:styleId="38">
    <w:name w:val="Hyperlink"/>
    <w:qFormat/>
    <w:uiPriority w:val="99"/>
    <w:rPr>
      <w:color w:val="0000FF"/>
      <w:u w:val="none"/>
    </w:rPr>
  </w:style>
  <w:style w:type="character" w:styleId="39">
    <w:name w:val="HTML Code"/>
    <w:semiHidden/>
    <w:qFormat/>
    <w:uiPriority w:val="99"/>
    <w:rPr>
      <w:rFonts w:ascii="monospace" w:hAnsi="monospace" w:eastAsia="Times New Roman" w:cs="monospace"/>
      <w:sz w:val="20"/>
      <w:szCs w:val="20"/>
    </w:rPr>
  </w:style>
  <w:style w:type="character" w:styleId="40">
    <w:name w:val="annotation reference"/>
    <w:basedOn w:val="30"/>
    <w:semiHidden/>
    <w:unhideWhenUsed/>
    <w:qFormat/>
    <w:uiPriority w:val="99"/>
    <w:rPr>
      <w:sz w:val="21"/>
      <w:szCs w:val="21"/>
    </w:rPr>
  </w:style>
  <w:style w:type="character" w:styleId="41">
    <w:name w:val="HTML Cite"/>
    <w:basedOn w:val="30"/>
    <w:semiHidden/>
    <w:qFormat/>
    <w:uiPriority w:val="99"/>
  </w:style>
  <w:style w:type="character" w:styleId="42">
    <w:name w:val="HTML Keyboard"/>
    <w:semiHidden/>
    <w:qFormat/>
    <w:uiPriority w:val="99"/>
    <w:rPr>
      <w:rFonts w:ascii="monospace" w:hAnsi="monospace" w:eastAsia="Times New Roman" w:cs="monospace"/>
      <w:sz w:val="20"/>
      <w:szCs w:val="20"/>
    </w:rPr>
  </w:style>
  <w:style w:type="character" w:styleId="43">
    <w:name w:val="HTML Sample"/>
    <w:semiHidden/>
    <w:qFormat/>
    <w:uiPriority w:val="99"/>
    <w:rPr>
      <w:rFonts w:ascii="monospace" w:hAnsi="monospace" w:eastAsia="Times New Roman" w:cs="monospace"/>
    </w:rPr>
  </w:style>
  <w:style w:type="character" w:customStyle="1" w:styleId="44">
    <w:name w:val="标题 1 字符"/>
    <w:link w:val="2"/>
    <w:qFormat/>
    <w:locked/>
    <w:uiPriority w:val="99"/>
    <w:rPr>
      <w:rFonts w:ascii="Times New Roman" w:hAnsi="Times New Roman" w:eastAsia="宋体" w:cs="Times New Roman"/>
      <w:b/>
      <w:bCs/>
      <w:kern w:val="44"/>
      <w:sz w:val="44"/>
      <w:szCs w:val="44"/>
    </w:rPr>
  </w:style>
  <w:style w:type="character" w:customStyle="1" w:styleId="45">
    <w:name w:val="标题 2 字符"/>
    <w:link w:val="3"/>
    <w:qFormat/>
    <w:locked/>
    <w:uiPriority w:val="99"/>
    <w:rPr>
      <w:rFonts w:ascii="Arial" w:hAnsi="Arial" w:eastAsia="黑体" w:cs="Arial"/>
      <w:b/>
      <w:bCs/>
      <w:sz w:val="32"/>
      <w:szCs w:val="32"/>
    </w:rPr>
  </w:style>
  <w:style w:type="character" w:customStyle="1" w:styleId="46">
    <w:name w:val="标题 3 字符"/>
    <w:link w:val="4"/>
    <w:qFormat/>
    <w:locked/>
    <w:uiPriority w:val="99"/>
    <w:rPr>
      <w:rFonts w:ascii="Times New Roman" w:hAnsi="Times New Roman" w:eastAsia="宋体" w:cs="Times New Roman"/>
      <w:b/>
      <w:bCs/>
      <w:sz w:val="32"/>
      <w:szCs w:val="32"/>
    </w:rPr>
  </w:style>
  <w:style w:type="character" w:customStyle="1" w:styleId="47">
    <w:name w:val="标题 4 字符"/>
    <w:link w:val="5"/>
    <w:qFormat/>
    <w:locked/>
    <w:uiPriority w:val="99"/>
    <w:rPr>
      <w:rFonts w:ascii="Arial" w:hAnsi="Arial" w:eastAsia="黑体" w:cs="Arial"/>
      <w:b/>
      <w:bCs/>
      <w:sz w:val="28"/>
      <w:szCs w:val="28"/>
    </w:rPr>
  </w:style>
  <w:style w:type="character" w:customStyle="1" w:styleId="48">
    <w:name w:val="文档结构图 字符"/>
    <w:link w:val="7"/>
    <w:semiHidden/>
    <w:qFormat/>
    <w:locked/>
    <w:uiPriority w:val="99"/>
    <w:rPr>
      <w:rFonts w:ascii="宋体" w:cs="宋体"/>
      <w:kern w:val="2"/>
      <w:sz w:val="18"/>
      <w:szCs w:val="18"/>
    </w:rPr>
  </w:style>
  <w:style w:type="character" w:customStyle="1" w:styleId="49">
    <w:name w:val="正文文本 3 字符"/>
    <w:link w:val="9"/>
    <w:qFormat/>
    <w:locked/>
    <w:uiPriority w:val="99"/>
    <w:rPr>
      <w:rFonts w:ascii="Times New Roman" w:hAnsi="Times New Roman" w:eastAsia="宋体" w:cs="Times New Roman"/>
      <w:sz w:val="24"/>
      <w:szCs w:val="24"/>
    </w:rPr>
  </w:style>
  <w:style w:type="character" w:customStyle="1" w:styleId="50">
    <w:name w:val="正文文本 字符"/>
    <w:link w:val="10"/>
    <w:qFormat/>
    <w:locked/>
    <w:uiPriority w:val="99"/>
    <w:rPr>
      <w:kern w:val="2"/>
      <w:sz w:val="24"/>
      <w:szCs w:val="24"/>
    </w:rPr>
  </w:style>
  <w:style w:type="character" w:customStyle="1" w:styleId="51">
    <w:name w:val="正文文本缩进 字符"/>
    <w:link w:val="11"/>
    <w:semiHidden/>
    <w:qFormat/>
    <w:uiPriority w:val="99"/>
    <w:rPr>
      <w:szCs w:val="21"/>
    </w:rPr>
  </w:style>
  <w:style w:type="character" w:customStyle="1" w:styleId="52">
    <w:name w:val="纯文本 字符"/>
    <w:link w:val="14"/>
    <w:qFormat/>
    <w:locked/>
    <w:uiPriority w:val="99"/>
    <w:rPr>
      <w:rFonts w:ascii="宋体" w:hAnsi="Courier New" w:eastAsia="宋体" w:cs="宋体"/>
      <w:sz w:val="21"/>
      <w:szCs w:val="21"/>
    </w:rPr>
  </w:style>
  <w:style w:type="character" w:customStyle="1" w:styleId="53">
    <w:name w:val="页脚 字符"/>
    <w:link w:val="17"/>
    <w:qFormat/>
    <w:locked/>
    <w:uiPriority w:val="99"/>
    <w:rPr>
      <w:rFonts w:ascii="Times New Roman" w:hAnsi="Times New Roman" w:eastAsia="宋体" w:cs="Times New Roman"/>
      <w:sz w:val="18"/>
      <w:szCs w:val="18"/>
    </w:rPr>
  </w:style>
  <w:style w:type="character" w:customStyle="1" w:styleId="54">
    <w:name w:val="页眉 字符"/>
    <w:link w:val="18"/>
    <w:qFormat/>
    <w:locked/>
    <w:uiPriority w:val="0"/>
    <w:rPr>
      <w:rFonts w:ascii="Times New Roman" w:hAnsi="Times New Roman" w:eastAsia="宋体" w:cs="Times New Roman"/>
      <w:sz w:val="18"/>
      <w:szCs w:val="18"/>
    </w:rPr>
  </w:style>
  <w:style w:type="character" w:customStyle="1" w:styleId="55">
    <w:name w:val="信息标题 字符"/>
    <w:link w:val="24"/>
    <w:semiHidden/>
    <w:qFormat/>
    <w:locked/>
    <w:uiPriority w:val="99"/>
    <w:rPr>
      <w:rFonts w:ascii="Cambria" w:hAnsi="Cambria" w:eastAsia="宋体" w:cs="Cambria"/>
      <w:sz w:val="24"/>
      <w:szCs w:val="24"/>
      <w:shd w:val="clear" w:color="auto" w:fill="7F7F7F"/>
    </w:rPr>
  </w:style>
  <w:style w:type="character" w:customStyle="1" w:styleId="56">
    <w:name w:val="正文文本首行缩进 2 字符"/>
    <w:basedOn w:val="51"/>
    <w:link w:val="27"/>
    <w:semiHidden/>
    <w:qFormat/>
    <w:uiPriority w:val="99"/>
    <w:rPr>
      <w:szCs w:val="21"/>
    </w:rPr>
  </w:style>
  <w:style w:type="paragraph" w:customStyle="1" w:styleId="57">
    <w:name w:val="WPSOffice手动目录 1"/>
    <w:qFormat/>
    <w:uiPriority w:val="99"/>
    <w:pPr>
      <w:spacing w:line="360" w:lineRule="auto"/>
      <w:ind w:left="1134" w:right="1134"/>
    </w:pPr>
    <w:rPr>
      <w:rFonts w:ascii="Times New Roman" w:hAnsi="Times New Roman" w:eastAsia="宋体" w:cs="Times New Roman"/>
      <w:sz w:val="28"/>
      <w:szCs w:val="28"/>
      <w:lang w:val="en-US" w:eastAsia="zh-CN" w:bidi="ar-SA"/>
    </w:rPr>
  </w:style>
  <w:style w:type="paragraph" w:customStyle="1" w:styleId="58">
    <w:name w:val="Default"/>
    <w:basedOn w:val="1"/>
    <w:link w:val="78"/>
    <w:qFormat/>
    <w:uiPriority w:val="0"/>
    <w:pPr>
      <w:autoSpaceDE w:val="0"/>
      <w:autoSpaceDN w:val="0"/>
      <w:adjustRightInd w:val="0"/>
      <w:jc w:val="left"/>
    </w:pPr>
    <w:rPr>
      <w:color w:val="000000"/>
      <w:kern w:val="0"/>
      <w:sz w:val="24"/>
      <w:szCs w:val="24"/>
    </w:rPr>
  </w:style>
  <w:style w:type="paragraph" w:customStyle="1" w:styleId="59">
    <w:name w:val="无间隔1"/>
    <w:basedOn w:val="1"/>
    <w:qFormat/>
    <w:uiPriority w:val="0"/>
    <w:pPr>
      <w:spacing w:before="100" w:beforeAutospacing="1" w:line="400" w:lineRule="exact"/>
    </w:pPr>
    <w:rPr>
      <w:sz w:val="24"/>
      <w:szCs w:val="24"/>
    </w:rPr>
  </w:style>
  <w:style w:type="paragraph" w:customStyle="1" w:styleId="60">
    <w:name w:val="样式 标题 2 + Times New Roman 四号 非加粗 段前: 5 磅 段后: 0 磅 行距: 固定值 20..."/>
    <w:basedOn w:val="3"/>
    <w:qFormat/>
    <w:uiPriority w:val="99"/>
    <w:pPr>
      <w:spacing w:line="400" w:lineRule="exact"/>
    </w:pPr>
    <w:rPr>
      <w:rFonts w:ascii="Times New Roman" w:hAnsi="Times New Roman"/>
      <w:b w:val="0"/>
      <w:bCs w:val="0"/>
      <w:sz w:val="28"/>
      <w:szCs w:val="28"/>
    </w:rPr>
  </w:style>
  <w:style w:type="paragraph" w:customStyle="1" w:styleId="61">
    <w:name w:val="样式 标题 3 + (中文) 黑体 小四 非加粗 段前: 7.8 磅 段后: 0 磅 行距: 固定值 20 磅"/>
    <w:basedOn w:val="4"/>
    <w:qFormat/>
    <w:uiPriority w:val="99"/>
    <w:pPr>
      <w:spacing w:line="400" w:lineRule="exact"/>
      <w:ind w:left="0"/>
    </w:pPr>
    <w:rPr>
      <w:rFonts w:eastAsia="黑体"/>
      <w:b w:val="0"/>
      <w:bCs w:val="0"/>
      <w:sz w:val="24"/>
      <w:szCs w:val="24"/>
    </w:rPr>
  </w:style>
  <w:style w:type="paragraph" w:customStyle="1" w:styleId="62">
    <w:name w:val="p0"/>
    <w:basedOn w:val="1"/>
    <w:qFormat/>
    <w:uiPriority w:val="0"/>
    <w:pPr>
      <w:widowControl/>
    </w:pPr>
    <w:rPr>
      <w:kern w:val="0"/>
    </w:rPr>
  </w:style>
  <w:style w:type="character" w:customStyle="1" w:styleId="63">
    <w:name w:val="10"/>
    <w:qFormat/>
    <w:uiPriority w:val="99"/>
    <w:rPr>
      <w:rFonts w:ascii="Times New Roman" w:hAnsi="Times New Roman" w:cs="Times New Roman"/>
    </w:rPr>
  </w:style>
  <w:style w:type="character" w:customStyle="1" w:styleId="64">
    <w:name w:val="15"/>
    <w:qFormat/>
    <w:uiPriority w:val="99"/>
    <w:rPr>
      <w:rFonts w:ascii="Times New Roman" w:hAnsi="Times New Roman" w:cs="Times New Roman"/>
    </w:rPr>
  </w:style>
  <w:style w:type="character" w:customStyle="1" w:styleId="65">
    <w:name w:val="16"/>
    <w:qFormat/>
    <w:uiPriority w:val="99"/>
    <w:rPr>
      <w:rFonts w:ascii="Times New Roman" w:hAnsi="Times New Roman" w:cs="Times New Roman"/>
      <w:color w:val="000000"/>
    </w:rPr>
  </w:style>
  <w:style w:type="paragraph" w:customStyle="1" w:styleId="66">
    <w:name w:val="Table Paragraph"/>
    <w:basedOn w:val="1"/>
    <w:qFormat/>
    <w:uiPriority w:val="99"/>
  </w:style>
  <w:style w:type="paragraph" w:styleId="67">
    <w:name w:val="List Paragraph"/>
    <w:basedOn w:val="1"/>
    <w:qFormat/>
    <w:uiPriority w:val="99"/>
    <w:pPr>
      <w:ind w:left="678" w:firstLine="480"/>
    </w:pPr>
  </w:style>
  <w:style w:type="paragraph" w:customStyle="1" w:styleId="68">
    <w:name w:val="WPSOffice手动目录 2"/>
    <w:qFormat/>
    <w:uiPriority w:val="99"/>
    <w:pPr>
      <w:ind w:left="200" w:leftChars="200"/>
    </w:pPr>
    <w:rPr>
      <w:rFonts w:ascii="Calibri" w:hAnsi="Calibri" w:eastAsia="宋体" w:cs="Calibri"/>
      <w:lang w:val="en-US" w:eastAsia="zh-CN" w:bidi="ar-SA"/>
    </w:rPr>
  </w:style>
  <w:style w:type="paragraph" w:customStyle="1" w:styleId="69">
    <w:name w:val="WPSOffice手动目录 3"/>
    <w:qFormat/>
    <w:uiPriority w:val="99"/>
    <w:pPr>
      <w:ind w:left="400" w:leftChars="400"/>
    </w:pPr>
    <w:rPr>
      <w:rFonts w:ascii="Calibri" w:hAnsi="Calibri" w:eastAsia="宋体" w:cs="Calibri"/>
      <w:lang w:val="en-US" w:eastAsia="zh-CN" w:bidi="ar-SA"/>
    </w:rPr>
  </w:style>
  <w:style w:type="paragraph" w:customStyle="1" w:styleId="70">
    <w:name w:val="列表段落1"/>
    <w:basedOn w:val="1"/>
    <w:qFormat/>
    <w:uiPriority w:val="99"/>
    <w:pPr>
      <w:widowControl/>
      <w:spacing w:line="500" w:lineRule="exact"/>
      <w:ind w:left="720" w:firstLine="200" w:firstLineChars="200"/>
      <w:jc w:val="left"/>
    </w:pPr>
    <w:rPr>
      <w:rFonts w:ascii="Calibri" w:hAnsi="Calibri" w:cs="Calibri"/>
      <w:kern w:val="0"/>
    </w:rPr>
  </w:style>
  <w:style w:type="character" w:customStyle="1" w:styleId="71">
    <w:name w:val="mini-tree-nodetext3"/>
    <w:basedOn w:val="30"/>
    <w:qFormat/>
    <w:uiPriority w:val="99"/>
  </w:style>
  <w:style w:type="character" w:customStyle="1" w:styleId="72">
    <w:name w:val="纯文本 Char1"/>
    <w:qFormat/>
    <w:uiPriority w:val="99"/>
    <w:rPr>
      <w:rFonts w:ascii="宋体" w:hAnsi="Courier New" w:cs="宋体"/>
      <w:color w:val="000000"/>
      <w:kern w:val="2"/>
      <w:sz w:val="21"/>
      <w:szCs w:val="21"/>
    </w:rPr>
  </w:style>
  <w:style w:type="character" w:customStyle="1" w:styleId="73">
    <w:name w:val="批注框文本 字符"/>
    <w:link w:val="16"/>
    <w:semiHidden/>
    <w:qFormat/>
    <w:locked/>
    <w:uiPriority w:val="99"/>
    <w:rPr>
      <w:kern w:val="2"/>
      <w:sz w:val="18"/>
      <w:szCs w:val="18"/>
    </w:rPr>
  </w:style>
  <w:style w:type="paragraph" w:styleId="74">
    <w:name w:val="No Spacing"/>
    <w:link w:val="75"/>
    <w:qFormat/>
    <w:uiPriority w:val="99"/>
    <w:rPr>
      <w:rFonts w:ascii="Calibri" w:hAnsi="Calibri" w:eastAsia="宋体" w:cs="Times New Roman"/>
      <w:sz w:val="22"/>
      <w:szCs w:val="22"/>
      <w:lang w:val="en-US" w:eastAsia="zh-CN" w:bidi="ar-SA"/>
    </w:rPr>
  </w:style>
  <w:style w:type="character" w:customStyle="1" w:styleId="75">
    <w:name w:val="无间隔 字符"/>
    <w:link w:val="74"/>
    <w:qFormat/>
    <w:locked/>
    <w:uiPriority w:val="99"/>
    <w:rPr>
      <w:rFonts w:ascii="Calibri" w:hAnsi="Calibri"/>
      <w:sz w:val="22"/>
      <w:szCs w:val="22"/>
      <w:lang w:val="en-US" w:eastAsia="zh-CN" w:bidi="ar-SA"/>
    </w:rPr>
  </w:style>
  <w:style w:type="character" w:customStyle="1" w:styleId="76">
    <w:name w:val="正文文本首行缩进 字符"/>
    <w:basedOn w:val="50"/>
    <w:link w:val="26"/>
    <w:qFormat/>
    <w:locked/>
    <w:uiPriority w:val="99"/>
    <w:rPr>
      <w:kern w:val="2"/>
      <w:sz w:val="24"/>
      <w:szCs w:val="24"/>
    </w:rPr>
  </w:style>
  <w:style w:type="character" w:customStyle="1" w:styleId="77">
    <w:name w:val="NormalCharacter"/>
    <w:semiHidden/>
    <w:qFormat/>
    <w:uiPriority w:val="99"/>
  </w:style>
  <w:style w:type="character" w:customStyle="1" w:styleId="78">
    <w:name w:val="Default Char Char"/>
    <w:link w:val="58"/>
    <w:qFormat/>
    <w:uiPriority w:val="0"/>
    <w:rPr>
      <w:color w:val="000000"/>
      <w:sz w:val="24"/>
      <w:szCs w:val="24"/>
    </w:rPr>
  </w:style>
  <w:style w:type="character" w:customStyle="1" w:styleId="79">
    <w:name w:val="right2"/>
    <w:basedOn w:val="30"/>
    <w:qFormat/>
    <w:uiPriority w:val="0"/>
  </w:style>
  <w:style w:type="character" w:customStyle="1" w:styleId="80">
    <w:name w:val="left"/>
    <w:basedOn w:val="30"/>
    <w:qFormat/>
    <w:uiPriority w:val="0"/>
  </w:style>
  <w:style w:type="character" w:customStyle="1" w:styleId="81">
    <w:name w:val="new_xin2"/>
    <w:basedOn w:val="30"/>
    <w:qFormat/>
    <w:uiPriority w:val="0"/>
  </w:style>
  <w:style w:type="character" w:customStyle="1" w:styleId="82">
    <w:name w:val="new_xin21"/>
    <w:basedOn w:val="30"/>
    <w:qFormat/>
    <w:uiPriority w:val="0"/>
  </w:style>
  <w:style w:type="character" w:customStyle="1" w:styleId="83">
    <w:name w:val="new_xin3"/>
    <w:basedOn w:val="30"/>
    <w:qFormat/>
    <w:uiPriority w:val="0"/>
  </w:style>
  <w:style w:type="character" w:customStyle="1" w:styleId="84">
    <w:name w:val="new_xin4"/>
    <w:basedOn w:val="30"/>
    <w:qFormat/>
    <w:uiPriority w:val="0"/>
  </w:style>
  <w:style w:type="character" w:customStyle="1" w:styleId="85">
    <w:name w:val="new_xin41"/>
    <w:basedOn w:val="30"/>
    <w:qFormat/>
    <w:uiPriority w:val="0"/>
  </w:style>
  <w:style w:type="character" w:customStyle="1" w:styleId="86">
    <w:name w:val="new_xin1"/>
    <w:basedOn w:val="30"/>
    <w:qFormat/>
    <w:uiPriority w:val="0"/>
  </w:style>
  <w:style w:type="character" w:customStyle="1" w:styleId="87">
    <w:name w:val="new_xin11"/>
    <w:basedOn w:val="30"/>
    <w:qFormat/>
    <w:uiPriority w:val="0"/>
  </w:style>
  <w:style w:type="paragraph" w:customStyle="1" w:styleId="88">
    <w:name w:val="正文文字缩进 2"/>
    <w:basedOn w:val="1"/>
    <w:qFormat/>
    <w:uiPriority w:val="0"/>
    <w:pPr>
      <w:spacing w:line="351" w:lineRule="atLeast"/>
      <w:ind w:firstLine="481"/>
      <w:textAlignment w:val="baseline"/>
    </w:pPr>
    <w:rPr>
      <w:rFonts w:ascii="仿宋_GB2312" w:eastAsia="仿宋_GB2312"/>
      <w:color w:val="000000"/>
      <w:sz w:val="24"/>
      <w:u w:color="000000"/>
    </w:rPr>
  </w:style>
  <w:style w:type="character" w:customStyle="1" w:styleId="89">
    <w:name w:val="fontstyle01"/>
    <w:basedOn w:val="30"/>
    <w:qFormat/>
    <w:uiPriority w:val="0"/>
    <w:rPr>
      <w:rFonts w:hint="eastAsia" w:ascii="宋体" w:hAnsi="宋体" w:eastAsia="宋体"/>
      <w:color w:val="000000"/>
      <w:sz w:val="22"/>
      <w:szCs w:val="22"/>
    </w:rPr>
  </w:style>
  <w:style w:type="paragraph" w:customStyle="1" w:styleId="90">
    <w:name w:val="Table Text"/>
    <w:basedOn w:val="1"/>
    <w:semiHidden/>
    <w:qFormat/>
    <w:uiPriority w:val="0"/>
    <w:rPr>
      <w:rFonts w:ascii="宋体" w:hAnsi="宋体" w:cs="宋体"/>
      <w:sz w:val="24"/>
      <w:szCs w:val="24"/>
      <w:lang w:eastAsia="en-US"/>
    </w:rPr>
  </w:style>
  <w:style w:type="table" w:customStyle="1" w:styleId="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FA3F4-8719-4A6B-B42F-7E96F483A23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80</Pages>
  <Words>17039</Words>
  <Characters>18166</Characters>
  <Lines>387</Lines>
  <Paragraphs>109</Paragraphs>
  <TotalTime>1</TotalTime>
  <ScaleCrop>false</ScaleCrop>
  <LinksUpToDate>false</LinksUpToDate>
  <CharactersWithSpaces>18505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2017-11-29T02:44:00Z</dcterms:created>
  <dc:creator>新郑市薛店镇人民政府:赵东伟</dc:creator>
  <cp:lastModifiedBy>沐明</cp:lastModifiedBy>
  <cp:lastPrinted>2025-08-19T01:00:45Z</cp:lastPrinted>
  <dcterms:modified xsi:type="dcterms:W3CDTF">2025-08-19T01:12:21Z</dcterms:modified>
  <cp:revision>532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eyJoZGlkIjoiMWZlZjJmZDdkNjNlZjAxYTcwNGUxMzE1ZTljYzlmYmIiLCJ1c2VySWQiOiI1Nzg1MTQ3MzYifQ==</vt:lpwstr>
  </property>
  <property fmtid="{D5CDD505-2E9C-101B-9397-08002B2CF9AE}" pid="4" name="ICV">
    <vt:lpwstr>B287FC8B7BCF4DD28B4DC320119CDCB7_13</vt:lpwstr>
  </property>
</Properties>
</file>